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4B" w:rsidRPr="00FE3AB8" w:rsidRDefault="0019064B" w:rsidP="00FE3AB8">
      <w:pPr>
        <w:jc w:val="center"/>
        <w:rPr>
          <w:b/>
          <w:color w:val="002060"/>
          <w:spacing w:val="-1"/>
          <w:sz w:val="24"/>
          <w:szCs w:val="24"/>
        </w:rPr>
      </w:pPr>
      <w:r w:rsidRPr="00FE3AB8">
        <w:rPr>
          <w:b/>
          <w:spacing w:val="-1"/>
          <w:sz w:val="24"/>
          <w:szCs w:val="24"/>
        </w:rPr>
        <w:t>Инвестиционная деятельность Владимирской области в 2019 году</w:t>
      </w:r>
    </w:p>
    <w:p w:rsidR="00CC587B" w:rsidRPr="00FE3AB8" w:rsidRDefault="00CC587B" w:rsidP="00EC7D84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E367B0" w:rsidRPr="00FE3AB8" w:rsidRDefault="0019064B" w:rsidP="00E72B2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>На развитие экономики и социальной сферы в 2019 года направлено 90,1 млрд.рублей инвестиций в основной капитал.</w:t>
      </w:r>
      <w:r w:rsidR="00381AB1" w:rsidRPr="00FE3AB8">
        <w:rPr>
          <w:color w:val="000000"/>
          <w:spacing w:val="-1"/>
          <w:sz w:val="24"/>
          <w:szCs w:val="24"/>
        </w:rPr>
        <w:t xml:space="preserve"> За истекшие пять лет в 2019 году наблюдался наибольший прирост инвестиций в основной капитал по сравнению с предыдущим годом.</w:t>
      </w:r>
      <w:r w:rsidR="007E3648" w:rsidRPr="00FE3AB8">
        <w:rPr>
          <w:color w:val="000000"/>
          <w:spacing w:val="-1"/>
          <w:sz w:val="24"/>
          <w:szCs w:val="24"/>
        </w:rPr>
        <w:t xml:space="preserve"> Прирост объема инвестиций составил 13,1%.</w:t>
      </w:r>
    </w:p>
    <w:p w:rsidR="007E3648" w:rsidRPr="00FE3AB8" w:rsidRDefault="007E3648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Однако вклад Владимирской области в общероссийский показатель по-прежнему невелик и составляет 0,5% (в 2018г.- 0,4%).   </w:t>
      </w:r>
    </w:p>
    <w:p w:rsidR="00715390" w:rsidRPr="00FE3AB8" w:rsidRDefault="006E254B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Доля Владимирской области  в общем объеме инвестиций в основной капитал </w:t>
      </w:r>
      <w:r w:rsidR="007E3648" w:rsidRPr="00FE3AB8">
        <w:rPr>
          <w:color w:val="000000"/>
          <w:spacing w:val="-1"/>
          <w:sz w:val="24"/>
          <w:szCs w:val="24"/>
        </w:rPr>
        <w:t xml:space="preserve">Центрального федерального округа также </w:t>
      </w:r>
      <w:r w:rsidRPr="00FE3AB8">
        <w:rPr>
          <w:color w:val="000000"/>
          <w:spacing w:val="-1"/>
          <w:sz w:val="24"/>
          <w:szCs w:val="24"/>
        </w:rPr>
        <w:t xml:space="preserve">остается незначительной и составляет </w:t>
      </w:r>
      <w:r w:rsidR="007E3648" w:rsidRPr="00FE3AB8">
        <w:rPr>
          <w:color w:val="000000"/>
          <w:spacing w:val="-1"/>
          <w:sz w:val="24"/>
          <w:szCs w:val="24"/>
        </w:rPr>
        <w:t>1,6% (в 2018 г. -1,5%).</w:t>
      </w:r>
    </w:p>
    <w:p w:rsidR="0067229A" w:rsidRPr="00FE3AB8" w:rsidRDefault="0067229A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67229A" w:rsidRPr="00FE3AB8" w:rsidRDefault="0067229A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            Динамика объема инвестиций в основной капитал</w:t>
      </w:r>
    </w:p>
    <w:p w:rsidR="0067229A" w:rsidRPr="00FE3AB8" w:rsidRDefault="00DC1C66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                              Владимирской области</w:t>
      </w:r>
    </w:p>
    <w:p w:rsidR="0067229A" w:rsidRPr="00FE3AB8" w:rsidRDefault="0067229A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67229A" w:rsidRPr="00FE3AB8" w:rsidRDefault="00FE3AB8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405765</wp:posOffset>
            </wp:positionV>
            <wp:extent cx="4541520" cy="2545080"/>
            <wp:effectExtent l="0" t="0" r="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7229A" w:rsidRPr="00FE3AB8" w:rsidRDefault="0067229A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A554A8" w:rsidRPr="00FE3AB8" w:rsidRDefault="00A554A8" w:rsidP="0067229A">
      <w:pPr>
        <w:jc w:val="both"/>
        <w:rPr>
          <w:color w:val="000000"/>
          <w:spacing w:val="-1"/>
          <w:sz w:val="24"/>
          <w:szCs w:val="24"/>
        </w:rPr>
      </w:pPr>
    </w:p>
    <w:p w:rsidR="00CC587B" w:rsidRPr="00FE3AB8" w:rsidRDefault="00CC587B" w:rsidP="00CC587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134C6" w:rsidRPr="00FE3AB8" w:rsidRDefault="00E72B2B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>Среди регионов ЦФО по индексу физического объема инвестиций в основной капитал в 2019 году область находилась на 3 месте. Наибольший прирост инвестиций был достигнут в Ивановской области (24,7%). Наибольшее снижение наблюдалось в Тверской области (77,4%).</w:t>
      </w:r>
    </w:p>
    <w:p w:rsidR="006E254B" w:rsidRPr="00FE3AB8" w:rsidRDefault="00715390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Более половины </w:t>
      </w:r>
      <w:r w:rsidR="009130AC" w:rsidRPr="00FE3AB8">
        <w:rPr>
          <w:color w:val="000000"/>
          <w:spacing w:val="-1"/>
          <w:sz w:val="24"/>
          <w:szCs w:val="24"/>
        </w:rPr>
        <w:t xml:space="preserve">областных </w:t>
      </w:r>
      <w:r w:rsidRPr="00FE3AB8">
        <w:rPr>
          <w:color w:val="000000"/>
          <w:spacing w:val="-1"/>
          <w:sz w:val="24"/>
          <w:szCs w:val="24"/>
        </w:rPr>
        <w:t>инвестиций в основной капитал 54,4% были освоены в областном центре</w:t>
      </w:r>
      <w:r w:rsidR="00A554A8" w:rsidRPr="00FE3AB8">
        <w:rPr>
          <w:color w:val="000000"/>
          <w:spacing w:val="-1"/>
          <w:sz w:val="24"/>
          <w:szCs w:val="24"/>
        </w:rPr>
        <w:t xml:space="preserve"> и округе Муром.</w:t>
      </w:r>
      <w:r w:rsidR="007E3648" w:rsidRPr="00FE3AB8">
        <w:rPr>
          <w:color w:val="000000"/>
          <w:spacing w:val="-1"/>
          <w:sz w:val="24"/>
          <w:szCs w:val="24"/>
        </w:rPr>
        <w:t xml:space="preserve"> </w:t>
      </w:r>
      <w:r w:rsidR="003A7D71" w:rsidRPr="00FE3AB8">
        <w:rPr>
          <w:color w:val="000000"/>
          <w:spacing w:val="-1"/>
          <w:sz w:val="24"/>
          <w:szCs w:val="24"/>
        </w:rPr>
        <w:t xml:space="preserve">Рост инвестиций в основной капитал в 2019 году к уровню 2018 года наблюдался в 12 муниципальных образованиях области из 21. </w:t>
      </w:r>
      <w:r w:rsidR="005912A1" w:rsidRPr="00FE3AB8">
        <w:rPr>
          <w:color w:val="000000"/>
          <w:spacing w:val="-1"/>
          <w:sz w:val="24"/>
          <w:szCs w:val="24"/>
        </w:rPr>
        <w:t>Среди муниципальных образований области можно отметить высокий рост инвестиций в основной капитал по сравнению с предыдущим годом</w:t>
      </w:r>
      <w:r w:rsidR="00261119" w:rsidRPr="00FE3AB8">
        <w:rPr>
          <w:color w:val="000000"/>
          <w:spacing w:val="-1"/>
          <w:sz w:val="24"/>
          <w:szCs w:val="24"/>
        </w:rPr>
        <w:t xml:space="preserve"> в Гороховецком районе (в 4 раза) и округе Муром (2,7 раза).</w:t>
      </w:r>
      <w:r w:rsidR="00491235" w:rsidRPr="00FE3AB8">
        <w:rPr>
          <w:color w:val="000000"/>
          <w:spacing w:val="-1"/>
          <w:sz w:val="24"/>
          <w:szCs w:val="24"/>
        </w:rPr>
        <w:t xml:space="preserve"> Наибольшее снижение</w:t>
      </w:r>
      <w:r w:rsidR="00EB1D7D" w:rsidRPr="00FE3AB8">
        <w:rPr>
          <w:color w:val="000000"/>
          <w:spacing w:val="-1"/>
          <w:sz w:val="24"/>
          <w:szCs w:val="24"/>
        </w:rPr>
        <w:t xml:space="preserve"> - </w:t>
      </w:r>
      <w:r w:rsidR="00491235" w:rsidRPr="00FE3AB8">
        <w:rPr>
          <w:color w:val="000000"/>
          <w:spacing w:val="-1"/>
          <w:sz w:val="24"/>
          <w:szCs w:val="24"/>
        </w:rPr>
        <w:t xml:space="preserve"> в Кольчугинском и Ковровском районах (в 2,6 меньше, чем год назад).</w:t>
      </w:r>
    </w:p>
    <w:p w:rsidR="00491235" w:rsidRPr="00FE3AB8" w:rsidRDefault="007E104D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В целевой структуре инвестиций </w:t>
      </w:r>
      <w:r w:rsidR="00047BF1" w:rsidRPr="00FE3AB8">
        <w:rPr>
          <w:color w:val="000000"/>
          <w:spacing w:val="-1"/>
          <w:sz w:val="24"/>
          <w:szCs w:val="24"/>
        </w:rPr>
        <w:t>в основной капитал на протяжении пяти лет наблюдалось</w:t>
      </w:r>
      <w:r w:rsidRPr="00FE3AB8">
        <w:rPr>
          <w:color w:val="000000"/>
          <w:spacing w:val="-1"/>
          <w:sz w:val="24"/>
          <w:szCs w:val="24"/>
        </w:rPr>
        <w:t xml:space="preserve"> преобладание затрат в активную часть основных фондов, на машины и оборудование, включая хозяйственный инвентарь и другие объекты в 2019 г. приходилось около 4</w:t>
      </w:r>
      <w:r w:rsidR="006C6769" w:rsidRPr="00FE3AB8">
        <w:rPr>
          <w:color w:val="000000"/>
          <w:spacing w:val="-1"/>
          <w:sz w:val="24"/>
          <w:szCs w:val="24"/>
        </w:rPr>
        <w:t>7</w:t>
      </w:r>
      <w:r w:rsidRPr="00FE3AB8">
        <w:rPr>
          <w:color w:val="000000"/>
          <w:spacing w:val="-1"/>
          <w:sz w:val="24"/>
          <w:szCs w:val="24"/>
        </w:rPr>
        <w:t>%</w:t>
      </w:r>
      <w:r w:rsidR="00047BF1" w:rsidRPr="00FE3AB8">
        <w:rPr>
          <w:color w:val="000000"/>
          <w:spacing w:val="-1"/>
          <w:sz w:val="24"/>
          <w:szCs w:val="24"/>
        </w:rPr>
        <w:t xml:space="preserve"> (</w:t>
      </w:r>
      <w:r w:rsidR="006523CA" w:rsidRPr="00FE3AB8">
        <w:rPr>
          <w:color w:val="000000"/>
          <w:spacing w:val="-1"/>
          <w:sz w:val="24"/>
          <w:szCs w:val="24"/>
        </w:rPr>
        <w:t>в 2018 г. – 42%)</w:t>
      </w:r>
      <w:r w:rsidRPr="00FE3AB8">
        <w:rPr>
          <w:color w:val="000000"/>
          <w:spacing w:val="-1"/>
          <w:sz w:val="24"/>
          <w:szCs w:val="24"/>
        </w:rPr>
        <w:t>, здания и сооружения составляли 35% объема инвестиций, около 1</w:t>
      </w:r>
      <w:r w:rsidR="006523CA" w:rsidRPr="00FE3AB8">
        <w:rPr>
          <w:color w:val="000000"/>
          <w:spacing w:val="-1"/>
          <w:sz w:val="24"/>
          <w:szCs w:val="24"/>
        </w:rPr>
        <w:t>5</w:t>
      </w:r>
      <w:r w:rsidRPr="00FE3AB8">
        <w:rPr>
          <w:color w:val="000000"/>
          <w:spacing w:val="-1"/>
          <w:sz w:val="24"/>
          <w:szCs w:val="24"/>
        </w:rPr>
        <w:t>% приходилось на жилую недвижимость</w:t>
      </w:r>
      <w:r w:rsidR="006523CA" w:rsidRPr="00FE3AB8">
        <w:rPr>
          <w:color w:val="000000"/>
          <w:spacing w:val="-1"/>
          <w:sz w:val="24"/>
          <w:szCs w:val="24"/>
        </w:rPr>
        <w:t xml:space="preserve"> (в 2018г – 17%)</w:t>
      </w:r>
      <w:r w:rsidRPr="00FE3AB8">
        <w:rPr>
          <w:color w:val="000000"/>
          <w:spacing w:val="-1"/>
          <w:sz w:val="24"/>
          <w:szCs w:val="24"/>
        </w:rPr>
        <w:t>.</w:t>
      </w:r>
    </w:p>
    <w:p w:rsidR="00AF1463" w:rsidRPr="00FE3AB8" w:rsidRDefault="00AF1463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В структуре инвестиций </w:t>
      </w:r>
      <w:r w:rsidR="006C6769" w:rsidRPr="00FE3AB8">
        <w:rPr>
          <w:color w:val="000000"/>
          <w:spacing w:val="-1"/>
          <w:sz w:val="24"/>
          <w:szCs w:val="24"/>
        </w:rPr>
        <w:t xml:space="preserve">в основной капитал </w:t>
      </w:r>
      <w:r w:rsidRPr="00FE3AB8">
        <w:rPr>
          <w:color w:val="000000"/>
          <w:spacing w:val="-1"/>
          <w:sz w:val="24"/>
          <w:szCs w:val="24"/>
        </w:rPr>
        <w:t>по видам экономической деятельности</w:t>
      </w:r>
      <w:r w:rsidR="006C6769" w:rsidRPr="00FE3AB8">
        <w:rPr>
          <w:color w:val="000000"/>
          <w:spacing w:val="-1"/>
          <w:sz w:val="24"/>
          <w:szCs w:val="24"/>
        </w:rPr>
        <w:t xml:space="preserve"> по организациям, не относящимся к субъектам малого предпринимательства </w:t>
      </w:r>
      <w:r w:rsidR="00047BF1" w:rsidRPr="00FE3AB8">
        <w:rPr>
          <w:color w:val="000000"/>
          <w:spacing w:val="-1"/>
          <w:sz w:val="24"/>
          <w:szCs w:val="24"/>
        </w:rPr>
        <w:t xml:space="preserve"> </w:t>
      </w:r>
      <w:r w:rsidR="006C6769" w:rsidRPr="00FE3AB8">
        <w:rPr>
          <w:color w:val="000000"/>
          <w:spacing w:val="-1"/>
          <w:sz w:val="24"/>
          <w:szCs w:val="24"/>
        </w:rPr>
        <w:t>преобладают обрабатывающие производства, на их долю приходилось 44,9% общего объема инвестиций (в 2018 г. – 35,1%).</w:t>
      </w:r>
      <w:r w:rsidR="00047BF1" w:rsidRPr="00FE3AB8">
        <w:rPr>
          <w:color w:val="000000"/>
          <w:spacing w:val="-1"/>
          <w:sz w:val="24"/>
          <w:szCs w:val="24"/>
        </w:rPr>
        <w:t xml:space="preserve"> На втором месте транспортировка и хранение – 12,1% (в 2018 г. – 12,6%).</w:t>
      </w:r>
    </w:p>
    <w:p w:rsidR="00047BF1" w:rsidRPr="00FE3AB8" w:rsidRDefault="00047BF1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lastRenderedPageBreak/>
        <w:t>Из обрабатывающих производств  можно отметить производство пищевых продуктов (9,3%) и обработку древесины и производство изделий из дерева (9,7%).</w:t>
      </w:r>
    </w:p>
    <w:p w:rsidR="00C4514F" w:rsidRPr="00FE3AB8" w:rsidRDefault="00411967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>На протяжении пяти лет в структуре финансирования инвестиций в основной капитал преобладали собственные средства организаций, на их долю приходилось 56,7%. В истекшем году резко выросла доля кредитов банков в финансировании инвестиций в основной капитал</w:t>
      </w:r>
      <w:r w:rsidR="00F936D1" w:rsidRPr="00FE3AB8">
        <w:rPr>
          <w:color w:val="000000"/>
          <w:spacing w:val="-1"/>
          <w:sz w:val="24"/>
          <w:szCs w:val="24"/>
        </w:rPr>
        <w:t xml:space="preserve"> с 5% в 2018 г. до 15,6% в 2019г., по сравнению с 2015 г. доля кредитов выросла в 4,5 раза.</w:t>
      </w:r>
    </w:p>
    <w:p w:rsidR="00AA0F48" w:rsidRPr="00FE3AB8" w:rsidRDefault="00F936D1" w:rsidP="00EC7D8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E3AB8">
        <w:rPr>
          <w:color w:val="000000"/>
          <w:spacing w:val="-1"/>
          <w:sz w:val="24"/>
          <w:szCs w:val="24"/>
        </w:rPr>
        <w:t xml:space="preserve"> Пятая часть инвестиций в основной капитал финансируется из бюджетных средств. За пять лет общий объем бюджет</w:t>
      </w:r>
      <w:r w:rsidR="00BE164A" w:rsidRPr="00FE3AB8">
        <w:rPr>
          <w:color w:val="000000"/>
          <w:spacing w:val="-1"/>
          <w:sz w:val="24"/>
          <w:szCs w:val="24"/>
        </w:rPr>
        <w:t xml:space="preserve">ных инвестиций вырос в 2,1 раза, </w:t>
      </w:r>
      <w:r w:rsidR="00C4514F" w:rsidRPr="00FE3AB8">
        <w:rPr>
          <w:color w:val="000000"/>
          <w:spacing w:val="-1"/>
          <w:sz w:val="24"/>
          <w:szCs w:val="24"/>
        </w:rPr>
        <w:t xml:space="preserve"> </w:t>
      </w:r>
      <w:r w:rsidR="00BE164A" w:rsidRPr="00FE3AB8">
        <w:rPr>
          <w:color w:val="000000"/>
          <w:spacing w:val="-1"/>
          <w:sz w:val="24"/>
          <w:szCs w:val="24"/>
        </w:rPr>
        <w:t>в 2,3 раза выросли инвестиции из федерального бюджета и на столько же бюджета субъекта</w:t>
      </w:r>
      <w:r w:rsidR="00C4514F" w:rsidRPr="00FE3AB8">
        <w:rPr>
          <w:color w:val="000000"/>
          <w:spacing w:val="-1"/>
          <w:sz w:val="24"/>
          <w:szCs w:val="24"/>
        </w:rPr>
        <w:t xml:space="preserve"> РФ</w:t>
      </w:r>
      <w:r w:rsidR="00BE164A" w:rsidRPr="00FE3AB8">
        <w:rPr>
          <w:color w:val="000000"/>
          <w:spacing w:val="-1"/>
          <w:sz w:val="24"/>
          <w:szCs w:val="24"/>
        </w:rPr>
        <w:t>,  на 17,5% увеличилось финансирование из местных бюджетов.</w:t>
      </w:r>
      <w:r w:rsidR="0046239D" w:rsidRPr="00FE3AB8">
        <w:rPr>
          <w:color w:val="000000"/>
          <w:spacing w:val="-1"/>
          <w:sz w:val="24"/>
          <w:szCs w:val="24"/>
        </w:rPr>
        <w:t xml:space="preserve">  Таким образом, за последние пять лет прослеживается некоторая привязка экономики к бюджетным инвестициям.</w:t>
      </w:r>
    </w:p>
    <w:sectPr w:rsidR="00AA0F48" w:rsidRPr="00FE3AB8" w:rsidSect="00514E03">
      <w:footerReference w:type="even" r:id="rId8"/>
      <w:footerReference w:type="default" r:id="rId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AF" w:rsidRDefault="00D646AF">
      <w:r>
        <w:separator/>
      </w:r>
    </w:p>
  </w:endnote>
  <w:endnote w:type="continuationSeparator" w:id="0">
    <w:p w:rsidR="00D646AF" w:rsidRDefault="00D6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8F2E9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8F2E9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AB8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AF" w:rsidRDefault="00D646AF">
      <w:r>
        <w:separator/>
      </w:r>
    </w:p>
  </w:footnote>
  <w:footnote w:type="continuationSeparator" w:id="0">
    <w:p w:rsidR="00D646AF" w:rsidRDefault="00D6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3E33"/>
    <w:rsid w:val="0001628B"/>
    <w:rsid w:val="0002365A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47BF1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064B"/>
    <w:rsid w:val="001955EE"/>
    <w:rsid w:val="001A1EBC"/>
    <w:rsid w:val="001A5E8F"/>
    <w:rsid w:val="001B1F28"/>
    <w:rsid w:val="001B469E"/>
    <w:rsid w:val="001B5A78"/>
    <w:rsid w:val="001B6930"/>
    <w:rsid w:val="001C05C6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1F7EE1"/>
    <w:rsid w:val="0020350E"/>
    <w:rsid w:val="002054E6"/>
    <w:rsid w:val="002076EE"/>
    <w:rsid w:val="00210D83"/>
    <w:rsid w:val="00211DB4"/>
    <w:rsid w:val="002134C6"/>
    <w:rsid w:val="002145EF"/>
    <w:rsid w:val="00214828"/>
    <w:rsid w:val="00214CA3"/>
    <w:rsid w:val="00220687"/>
    <w:rsid w:val="00220B84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1119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0672"/>
    <w:rsid w:val="00352BBA"/>
    <w:rsid w:val="00352CA5"/>
    <w:rsid w:val="00354CE0"/>
    <w:rsid w:val="003558C1"/>
    <w:rsid w:val="00356196"/>
    <w:rsid w:val="003616A3"/>
    <w:rsid w:val="00362E72"/>
    <w:rsid w:val="003657E8"/>
    <w:rsid w:val="00372ADC"/>
    <w:rsid w:val="00372E02"/>
    <w:rsid w:val="003751EA"/>
    <w:rsid w:val="0037673D"/>
    <w:rsid w:val="00381AB1"/>
    <w:rsid w:val="00383F5C"/>
    <w:rsid w:val="00384E26"/>
    <w:rsid w:val="0038549C"/>
    <w:rsid w:val="003939A6"/>
    <w:rsid w:val="003958DC"/>
    <w:rsid w:val="00396C47"/>
    <w:rsid w:val="003A1D4D"/>
    <w:rsid w:val="003A7D71"/>
    <w:rsid w:val="003B0503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6CC1"/>
    <w:rsid w:val="003F7C54"/>
    <w:rsid w:val="0040410E"/>
    <w:rsid w:val="00410427"/>
    <w:rsid w:val="0041196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39D"/>
    <w:rsid w:val="00462A99"/>
    <w:rsid w:val="00462ECE"/>
    <w:rsid w:val="00465CC1"/>
    <w:rsid w:val="00477833"/>
    <w:rsid w:val="00477876"/>
    <w:rsid w:val="00477891"/>
    <w:rsid w:val="00487A9A"/>
    <w:rsid w:val="00487DD6"/>
    <w:rsid w:val="00491235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6651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90413"/>
    <w:rsid w:val="005912A1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40E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23CA"/>
    <w:rsid w:val="00654126"/>
    <w:rsid w:val="0065747A"/>
    <w:rsid w:val="0066078B"/>
    <w:rsid w:val="00663BF1"/>
    <w:rsid w:val="0066527F"/>
    <w:rsid w:val="00665C83"/>
    <w:rsid w:val="0067107D"/>
    <w:rsid w:val="0067229A"/>
    <w:rsid w:val="006825A4"/>
    <w:rsid w:val="006879AB"/>
    <w:rsid w:val="00691642"/>
    <w:rsid w:val="006921C5"/>
    <w:rsid w:val="0069285B"/>
    <w:rsid w:val="00694F78"/>
    <w:rsid w:val="006A25B8"/>
    <w:rsid w:val="006A34AA"/>
    <w:rsid w:val="006A55CA"/>
    <w:rsid w:val="006A69E6"/>
    <w:rsid w:val="006B4305"/>
    <w:rsid w:val="006B45C3"/>
    <w:rsid w:val="006B4F47"/>
    <w:rsid w:val="006B65F0"/>
    <w:rsid w:val="006C55B1"/>
    <w:rsid w:val="006C6769"/>
    <w:rsid w:val="006D06AD"/>
    <w:rsid w:val="006D11FB"/>
    <w:rsid w:val="006D1D99"/>
    <w:rsid w:val="006D2269"/>
    <w:rsid w:val="006D3317"/>
    <w:rsid w:val="006D5C7B"/>
    <w:rsid w:val="006E02CF"/>
    <w:rsid w:val="006E254B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390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1B81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B1C5A"/>
    <w:rsid w:val="007C585A"/>
    <w:rsid w:val="007D308F"/>
    <w:rsid w:val="007E104D"/>
    <w:rsid w:val="007E2970"/>
    <w:rsid w:val="007E3648"/>
    <w:rsid w:val="007E3FC9"/>
    <w:rsid w:val="007E48D5"/>
    <w:rsid w:val="007E7F8C"/>
    <w:rsid w:val="007F410D"/>
    <w:rsid w:val="0080244C"/>
    <w:rsid w:val="00803AB9"/>
    <w:rsid w:val="00806709"/>
    <w:rsid w:val="00810D6D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55CBD"/>
    <w:rsid w:val="00856D59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5D0E"/>
    <w:rsid w:val="008E75A9"/>
    <w:rsid w:val="008F14BB"/>
    <w:rsid w:val="008F1715"/>
    <w:rsid w:val="008F1A44"/>
    <w:rsid w:val="008F2E95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130AC"/>
    <w:rsid w:val="0092062D"/>
    <w:rsid w:val="00922E34"/>
    <w:rsid w:val="00926131"/>
    <w:rsid w:val="00927ED2"/>
    <w:rsid w:val="00930901"/>
    <w:rsid w:val="00932708"/>
    <w:rsid w:val="00936281"/>
    <w:rsid w:val="00937AE6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853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54A8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334E"/>
    <w:rsid w:val="00A74301"/>
    <w:rsid w:val="00A74C6E"/>
    <w:rsid w:val="00A77F8B"/>
    <w:rsid w:val="00A84103"/>
    <w:rsid w:val="00A91B48"/>
    <w:rsid w:val="00A9473F"/>
    <w:rsid w:val="00A95540"/>
    <w:rsid w:val="00A962C8"/>
    <w:rsid w:val="00AA0F4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1463"/>
    <w:rsid w:val="00AF5AE5"/>
    <w:rsid w:val="00AF713F"/>
    <w:rsid w:val="00B004AF"/>
    <w:rsid w:val="00B00FF4"/>
    <w:rsid w:val="00B03B3E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C4BC1"/>
    <w:rsid w:val="00BD272B"/>
    <w:rsid w:val="00BD2D5F"/>
    <w:rsid w:val="00BD66B5"/>
    <w:rsid w:val="00BE02B9"/>
    <w:rsid w:val="00BE164A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4EFB"/>
    <w:rsid w:val="00C36AC9"/>
    <w:rsid w:val="00C36B5C"/>
    <w:rsid w:val="00C4514F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C587B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6AF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1C6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DE79A4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7B0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2B2B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1D7D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6D1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AB8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4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49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6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5837742504409181E-2"/>
          <c:y val="3.2171581769437005E-2"/>
          <c:w val="0.91534391534391535"/>
          <c:h val="0.7104557640750668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Миллиардов рублей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570966709269034E-3"/>
                  <c:y val="-9.149873912531532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209885231705921E-3"/>
                  <c:y val="-1.120510525226690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9218188184784026E-4"/>
                  <c:y val="-2.558919804908684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42087386135571E-3"/>
                  <c:y val="1.114780842669508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3139416209600012E-3"/>
                  <c:y val="4.4561979224453903E-3"/>
                </c:manualLayout>
              </c:layout>
              <c:dLblPos val="outEnd"/>
              <c:showVal val="1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71.5</c:v>
                </c:pt>
                <c:pt idx="1">
                  <c:v>70.7</c:v>
                </c:pt>
                <c:pt idx="2">
                  <c:v>78.5</c:v>
                </c:pt>
                <c:pt idx="3">
                  <c:v>73.5</c:v>
                </c:pt>
                <c:pt idx="4">
                  <c:v>90.1</c:v>
                </c:pt>
              </c:numCache>
            </c:numRef>
          </c:val>
        </c:ser>
        <c:dLbls>
          <c:showVal val="1"/>
        </c:dLbls>
        <c:axId val="45694336"/>
        <c:axId val="45741184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В процентах к предыдущему году</c:v>
                </c:pt>
              </c:strCache>
            </c:strRef>
          </c:tx>
          <c:spPr>
            <a:ln w="25377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6600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252880435006333E-2"/>
                  <c:y val="-6.91186653418650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88,9</a:t>
                    </a:r>
                  </a:p>
                </c:rich>
              </c:tx>
              <c:dLblPos val="r"/>
            </c:dLbl>
            <c:dLbl>
              <c:idx val="1"/>
              <c:layout>
                <c:manualLayout>
                  <c:x val="-4.860926853621441E-2"/>
                  <c:y val="-6.946489884607881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492811545100307E-2"/>
                  <c:y val="-6.571164244156169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7903691414656391E-2"/>
                  <c:y val="-6.546600699965182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0496411085529371E-2"/>
                  <c:y val="-4.3805842807508072E-2"/>
                </c:manualLayout>
              </c:layout>
              <c:dLblPos val="r"/>
              <c:showVal val="1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88.9</c:v>
                </c:pt>
                <c:pt idx="1">
                  <c:v>90.2</c:v>
                </c:pt>
                <c:pt idx="2">
                  <c:v>109.4</c:v>
                </c:pt>
                <c:pt idx="3">
                  <c:v>86.8</c:v>
                </c:pt>
                <c:pt idx="4">
                  <c:v>113.1</c:v>
                </c:pt>
              </c:numCache>
            </c:numRef>
          </c:val>
        </c:ser>
        <c:dLbls>
          <c:showVal val="1"/>
        </c:dLbls>
        <c:marker val="1"/>
        <c:axId val="45694336"/>
        <c:axId val="45741184"/>
      </c:lineChart>
      <c:catAx>
        <c:axId val="4569433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741184"/>
        <c:crosses val="autoZero"/>
        <c:auto val="1"/>
        <c:lblAlgn val="ctr"/>
        <c:lblOffset val="100"/>
        <c:tickLblSkip val="1"/>
        <c:tickMarkSkip val="1"/>
      </c:catAx>
      <c:valAx>
        <c:axId val="45741184"/>
        <c:scaling>
          <c:orientation val="minMax"/>
        </c:scaling>
        <c:axPos val="l"/>
        <c:majorGridlines>
          <c:spPr>
            <a:ln w="12688">
              <a:solidFill>
                <a:srgbClr val="C0C0C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694336"/>
        <c:crosses val="autoZero"/>
        <c:crossBetween val="between"/>
      </c:valAx>
      <c:spPr>
        <a:solidFill>
          <a:srgbClr val="FFFFFF"/>
        </a:solidFill>
        <a:ln w="1268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92379950392036092"/>
          <c:w val="0.96119929453262809"/>
          <c:h val="7.5067024128686377E-2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Пользователь</cp:lastModifiedBy>
  <cp:revision>87</cp:revision>
  <cp:lastPrinted>2020-02-06T08:02:00Z</cp:lastPrinted>
  <dcterms:created xsi:type="dcterms:W3CDTF">2019-11-07T16:50:00Z</dcterms:created>
  <dcterms:modified xsi:type="dcterms:W3CDTF">2020-04-30T09:26:00Z</dcterms:modified>
</cp:coreProperties>
</file>