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before="0" w:after="0"/>
        <w:ind w:firstLine="709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jc w:val="center"/>
        <w:rPr>
          <w:rFonts w:ascii="Arial" w:hAnsi="Arial" w:eastAsia="Arial Unicode MS" w:cs="Arial"/>
          <w:b/>
          <w:kern w:val="0"/>
          <w:sz w:val="26"/>
          <w:szCs w:val="26"/>
          <w:lang w:eastAsia="en-US" w:bidi="ar-SA"/>
        </w:rPr>
      </w:pPr>
      <w:r>
        <w:rPr>
          <w:rFonts w:eastAsia="Arial Unicode MS" w:cs="Arial" w:ascii="Arial" w:hAnsi="Arial"/>
          <w:b/>
          <w:kern w:val="0"/>
          <w:sz w:val="26"/>
          <w:szCs w:val="26"/>
          <w:lang w:eastAsia="en-US" w:bidi="ar-SA"/>
        </w:rPr>
        <w:t>Управление Росреестра по Владимирской области информирует о едином реестре контрольно-надзорных мероприятий и возможност</w:t>
      </w:r>
      <w:r>
        <w:rPr>
          <w:rFonts w:eastAsia="Arial Unicode MS" w:cs="Arial" w:ascii="Arial" w:hAnsi="Arial"/>
          <w:b/>
          <w:kern w:val="0"/>
          <w:sz w:val="26"/>
          <w:szCs w:val="26"/>
          <w:lang w:eastAsia="en-US" w:bidi="ar-SA"/>
        </w:rPr>
        <w:t>ях</w:t>
      </w:r>
      <w:r>
        <w:rPr>
          <w:rFonts w:eastAsia="Arial Unicode MS" w:cs="Arial" w:ascii="Arial" w:hAnsi="Arial"/>
          <w:b/>
          <w:kern w:val="0"/>
          <w:sz w:val="26"/>
          <w:szCs w:val="26"/>
          <w:lang w:eastAsia="en-US" w:bidi="ar-SA"/>
        </w:rPr>
        <w:t xml:space="preserve"> данного ресурса для правообладателей объектов земельных отношений</w:t>
      </w:r>
    </w:p>
    <w:p>
      <w:pPr>
        <w:pStyle w:val="Normal"/>
        <w:spacing w:lineRule="auto" w:line="240" w:before="0" w:after="46"/>
        <w:ind w:firstLine="709"/>
        <w:jc w:val="both"/>
        <w:rPr>
          <w:rFonts w:ascii="Times New Roman" w:hAnsi="Times New Roman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Положением «О федеральном государственном земельном контроле (надзоре)», утвержденным Постановлением Правительства РФ от 30.06.2021 № 1081, предусмотрено размещение информации о контрольных (надзорных) мероприятиях в Едином реестре контрольных (надзорных) мероприятий (ЕРКНМ).</w:t>
      </w:r>
    </w:p>
    <w:p>
      <w:pPr>
        <w:pStyle w:val="Normal"/>
        <w:widowControl/>
        <w:bidi w:val="0"/>
        <w:spacing w:lineRule="auto" w:line="240"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В соответствии со статьей 19 Федерального закона от 31.07.2020         № 248-ФЗ "О государственном контроле (надзоре) и муниципальном контроле в Российской Федерации" (Закон № 248-ФЗ) ЕРКНМ создан в целях учета: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контрольных (надзорных) мероприятий;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проводимых контрольными (надзорными) органами профилактических мероприятий;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принятых контрольными (надзорными) органами мер по пресечению выявленных нарушений обязательных требований, устранению их последствий и (или) по восстановлению правового положения, существовавшего до таких нарушений;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решений и действий должностных лиц контрольных (надзорных) органов, решений контрольных (надзорных) органов, принятых при проведении мероприятий;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информации о жалобах контролируемых лиц, а также принятых по ним мерах;</w:t>
      </w:r>
    </w:p>
    <w:p>
      <w:pPr>
        <w:pStyle w:val="Normal"/>
        <w:spacing w:lineRule="auto" w:line="240" w:before="0"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обеспечения взаимодействия контрольных (надзорных) органов и органов прокуратуры в рамках планирования и согласования проведения контрольных (надзорных) мероприятий.</w:t>
      </w:r>
    </w:p>
    <w:p>
      <w:pPr>
        <w:pStyle w:val="Normal"/>
        <w:widowControl/>
        <w:bidi w:val="0"/>
        <w:spacing w:lineRule="auto" w:line="240" w:before="0" w:after="16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Государственные инспекторы по использованию и охране земель в целях ведения единого реестра обеспечивают внесение в ЕРКНМ и актуализацию сведений о профилактических мероприятиях, контрольных (надзорных) мероприятиях посредством заполнения их электронных паспортов с присвоением </w:t>
      </w:r>
      <w:r>
        <w:rPr>
          <w:rFonts w:eastAsia="Calibri" w:ascii="Times New Roman" w:hAnsi="Times New Roman" w:eastAsiaTheme="minorHAnsi"/>
          <w:sz w:val="28"/>
          <w:szCs w:val="28"/>
          <w:lang w:eastAsia="en-US"/>
        </w:rPr>
        <w:t>QR-кода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, обеспечивающего беспрепятственный и доступный просмотр информации о контролируемых объектах - земельных участках и их правообладателях, а также о</w:t>
      </w:r>
      <w:bookmarkStart w:id="0" w:name="_GoBack_Копия_1"/>
      <w:bookmarkEnd w:id="0"/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бо всех сведениях, касающихся контрольно-надзорных мероприятий. </w:t>
      </w:r>
    </w:p>
    <w:p>
      <w:pPr>
        <w:pStyle w:val="Normal"/>
        <w:widowControl/>
        <w:bidi w:val="0"/>
        <w:spacing w:lineRule="auto" w:line="240" w:before="20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sz w:val="28"/>
          <w:szCs w:val="28"/>
          <w:lang w:eastAsia="en-US"/>
        </w:rPr>
        <w:t xml:space="preserve">Также контролируемые лица - правообладатели объектов земельных отношений получают доступ к сведениям, содержащимся в ЕРКНМ, посредством авторизованного доступа в федеральной государственной информационной системе «Единый портал государственных и муниципальных услуг» в личном кабинете контролируемого лица. </w:t>
      </w:r>
    </w:p>
    <w:p>
      <w:pPr>
        <w:pStyle w:val="Normal"/>
        <w:widowControl/>
        <w:bidi w:val="0"/>
        <w:spacing w:lineRule="auto" w:line="240"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Е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РКНМ 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 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федеральная государственная информационная система, оператором которой 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является Генеральная прокуратура Российской Федерации.</w:t>
      </w:r>
    </w:p>
    <w:p>
      <w:pPr>
        <w:pStyle w:val="Normal"/>
        <w:widowControl/>
        <w:bidi w:val="0"/>
        <w:spacing w:lineRule="auto" w:line="240" w:before="0" w:after="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«Обращаем внимание, что в соответствии с частью 4 статьи 19 Закона  № 248-ФЗ проведение контрольных (надзорных) мероприятий, информация о которых на момент начала их проведения в едином реестре контрольных (надзорных) мероприятий отсутствует, не допускается», 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- подчеркивает начальник Кольчугинского отдела Валентина Катышева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.</w:t>
      </w:r>
    </w:p>
    <w:p>
      <w:pPr>
        <w:pStyle w:val="Normal"/>
        <w:widowControl/>
        <w:bidi w:val="0"/>
        <w:spacing w:lineRule="auto" w:line="240" w:before="0" w:after="160"/>
        <w:ind w:left="0" w:right="0" w:firstLine="737"/>
        <w:jc w:val="both"/>
        <w:rPr>
          <w:rFonts w:ascii="Times New Roman" w:hAnsi="Times New Roman"/>
          <w:sz w:val="28"/>
          <w:szCs w:val="28"/>
        </w:rPr>
      </w:pP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Таким образом, у контролируемых лиц - правообладателей объектов земельных отношений появилась возможность отследить весь этап проведения государственными инспекторами по использованию и охране земель контрольного (надзорного) мероприятия от его начала - с момента вынесения распоряжения о проведении проверочного мероприятия, до 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>завершения мероприятия</w:t>
      </w:r>
      <w:r>
        <w:rPr>
          <w:rFonts w:eastAsia="Calibri" w:ascii="Times New Roman" w:hAnsi="Times New Roman" w:eastAsiaTheme="minorHAnsi"/>
          <w:bCs/>
          <w:sz w:val="28"/>
          <w:szCs w:val="28"/>
          <w:lang w:eastAsia="en-US"/>
        </w:rPr>
        <w:t xml:space="preserve"> - до вынесения заключительных актов, а также принятых мерах по выявленным нарушениям с приложением всех выносимых документов.</w:t>
      </w:r>
    </w:p>
    <w:p>
      <w:pPr>
        <w:pStyle w:val="Normal"/>
        <w:spacing w:lineRule="auto" w:line="240"/>
        <w:ind w:firstLine="540"/>
        <w:jc w:val="both"/>
        <w:rPr>
          <w:rFonts w:ascii="Times New Roman" w:hAnsi="Times New Roman" w:eastAsia="Calibri" w:eastAsiaTheme="minorHAnsi"/>
          <w:bCs/>
          <w:sz w:val="28"/>
          <w:szCs w:val="28"/>
          <w:lang w:eastAsia="en-US"/>
        </w:rPr>
      </w:pPr>
      <w:r>
        <w:rPr>
          <w:rFonts w:eastAsia="Calibri" w:eastAsiaTheme="minorHAnsi"/>
          <w:bCs/>
          <w:lang w:eastAsia="en-US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Управлением Росреестра по Владимирской области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  <w:bookmarkStart w:id="1" w:name="_GoBack"/>
      <w:bookmarkEnd w:id="1"/>
    </w:p>
    <w:p>
      <w:pPr>
        <w:pStyle w:val="NormalWeb"/>
        <w:spacing w:lineRule="auto" w:line="276" w:before="0" w:after="0"/>
        <w:rPr>
          <w:sz w:val="28"/>
          <w:szCs w:val="28"/>
        </w:rPr>
      </w:pPr>
      <w:r>
        <w:rPr>
          <w:sz w:val="28"/>
          <w:szCs w:val="28"/>
        </w:rPr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</TotalTime>
  <Application>LibreOffice/7.5.6.2$Linux_X86_64 LibreOffice_project/50$Build-2</Application>
  <AppVersion>15.0000</AppVersion>
  <Pages>2</Pages>
  <Words>394</Words>
  <Characters>2997</Characters>
  <CharactersWithSpaces>3516</CharactersWithSpaces>
  <Paragraphs>25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2022-07-21T11:07:00Z</dcterms:created>
  <dc:creator>Пушкарская Диана Дмитриевна</dc:creator>
  <dc:description/>
  <dc:language>ru-RU</dc:language>
  <cp:lastModifiedBy/>
  <cp:lastPrinted>2022-11-24T11:00:00Z</cp:lastPrinted>
  <dcterms:modified xsi:type="dcterms:W3CDTF">2024-05-03T13:26:38Z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