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word/_rels/document.xml.rels" ContentType="application/vnd.openxmlformats-package.relationships+xml"/>
  <Override PartName="/word/fontTable.xml" ContentType="application/vnd.openxmlformats-officedocument.wordprocessingml.fontTable+xml"/>
  <Override PartName="/word/media/image1.png" ContentType="image/png"/>
  <Override PartName="/word/theme/theme1.xml" ContentType="application/vnd.openxmlformats-officedocument.theme+xml"/>
  <Override PartName="/word/settings.xml" ContentType="application/vnd.openxmlformats-officedocument.wordprocessingml.settings+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docProps/custom.xml" ContentType="application/vnd.openxmlformats-officedocument.custom-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Spacing"/>
        <w:tabs>
          <w:tab w:val="clear" w:pos="708"/>
          <w:tab w:val="left" w:pos="3119" w:leader="none"/>
        </w:tabs>
        <w:rPr/>
      </w:pPr>
      <w:r>
        <w:drawing>
          <wp:anchor behindDoc="0" distT="0" distB="0" distL="0" distR="114300" simplePos="0" locked="0" layoutInCell="0" allowOverlap="1" relativeHeight="3">
            <wp:simplePos x="0" y="0"/>
            <wp:positionH relativeFrom="column">
              <wp:align>left</wp:align>
            </wp:positionH>
            <wp:positionV relativeFrom="paragraph">
              <wp:posOffset>635</wp:posOffset>
            </wp:positionV>
            <wp:extent cx="1990725" cy="704850"/>
            <wp:effectExtent l="0" t="0" r="0" b="0"/>
            <wp:wrapSquare wrapText="bothSides"/>
            <wp:docPr id="1" name="Рисунок 3" descr="C:\Users\E.Kudryashova\AppData\Local\Microsoft\Windows\INetCache\Content.Word\Лого основное 2 Владимирская область.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3" descr="C:\Users\E.Kudryashova\AppData\Local\Microsoft\Windows\INetCache\Content.Word\Лого основное 2 Владимирская область.png"/>
                    <pic:cNvPicPr>
                      <a:picLocks noChangeAspect="1" noChangeArrowheads="1"/>
                    </pic:cNvPicPr>
                  </pic:nvPicPr>
                  <pic:blipFill>
                    <a:blip r:embed="rId2"/>
                    <a:stretch>
                      <a:fillRect/>
                    </a:stretch>
                  </pic:blipFill>
                  <pic:spPr bwMode="auto">
                    <a:xfrm>
                      <a:off x="0" y="0"/>
                      <a:ext cx="1990725" cy="704850"/>
                    </a:xfrm>
                    <a:prstGeom prst="rect">
                      <a:avLst/>
                    </a:prstGeom>
                  </pic:spPr>
                </pic:pic>
              </a:graphicData>
            </a:graphic>
          </wp:anchor>
        </w:drawing>
      </w:r>
      <w:r>
        <w:rPr/>
        <w:t xml:space="preserve">                                                                                                                                        </w:t>
      </w:r>
    </w:p>
    <w:p>
      <w:pPr>
        <w:pStyle w:val="NoSpacing"/>
        <w:rPr/>
      </w:pPr>
      <w:r>
        <w:rPr/>
        <w:br w:type="textWrapping" w:clear="all"/>
      </w:r>
    </w:p>
    <w:p>
      <w:pPr>
        <w:pStyle w:val="NoSpacing"/>
        <w:jc w:val="right"/>
        <w:rPr>
          <w:rFonts w:ascii="Arial" w:hAnsi="Arial" w:eastAsia="Arial Unicode MS" w:cs="Arial"/>
          <w:b/>
          <w:sz w:val="26"/>
          <w:szCs w:val="26"/>
        </w:rPr>
      </w:pPr>
      <w:r>
        <w:rPr>
          <w:rFonts w:eastAsia="Arial Unicode MS" w:cs="Arial" w:ascii="Arial" w:hAnsi="Arial"/>
          <w:b/>
          <w:sz w:val="26"/>
          <w:szCs w:val="26"/>
        </w:rPr>
      </w:r>
    </w:p>
    <w:p>
      <w:pPr>
        <w:pStyle w:val="NoSpacing"/>
        <w:jc w:val="right"/>
        <w:rPr>
          <w:rFonts w:ascii="Arial" w:hAnsi="Arial" w:eastAsia="Arial Unicode MS" w:cs="Arial"/>
          <w:b/>
          <w:sz w:val="26"/>
          <w:szCs w:val="26"/>
        </w:rPr>
      </w:pPr>
      <w:r>
        <w:rPr>
          <w:rFonts w:eastAsia="Arial Unicode MS" w:cs="Arial" w:ascii="Arial" w:hAnsi="Arial"/>
          <w:b/>
          <w:sz w:val="26"/>
          <w:szCs w:val="26"/>
        </w:rPr>
        <w:t>ПРЕСС-РЕЛИЗ</w:t>
      </w:r>
    </w:p>
    <w:p>
      <w:pPr>
        <w:pStyle w:val="Normal"/>
        <w:rPr/>
      </w:pPr>
      <w:r>
        <w:rPr/>
      </w:r>
    </w:p>
    <w:p>
      <w:pPr>
        <w:pStyle w:val="NoSpacing"/>
        <w:jc w:val="center"/>
        <w:rPr>
          <w:rFonts w:ascii="Arial" w:hAnsi="Arial" w:eastAsia="Arial Unicode MS" w:cs="Arial"/>
          <w:b/>
          <w:color w:val="auto"/>
          <w:kern w:val="0"/>
          <w:sz w:val="26"/>
          <w:szCs w:val="26"/>
          <w:lang w:val="ru-RU" w:eastAsia="en-US" w:bidi="ar-SA"/>
        </w:rPr>
      </w:pPr>
      <w:r>
        <w:rPr>
          <w:rFonts w:eastAsia="Arial Unicode MS" w:cs="Arial" w:ascii="Arial" w:hAnsi="Arial"/>
          <w:b/>
          <w:color w:val="auto"/>
          <w:kern w:val="0"/>
          <w:sz w:val="26"/>
          <w:szCs w:val="26"/>
          <w:lang w:val="ru-RU" w:eastAsia="en-US" w:bidi="ar-SA"/>
        </w:rPr>
        <w:t xml:space="preserve">Управление Росреестра по Владимирской области информирует </w:t>
      </w:r>
    </w:p>
    <w:p>
      <w:pPr>
        <w:pStyle w:val="NoSpacing"/>
        <w:jc w:val="center"/>
        <w:rPr>
          <w:rFonts w:ascii="Arial" w:hAnsi="Arial" w:eastAsia="Arial Unicode MS" w:cs="Arial"/>
          <w:b/>
          <w:color w:val="auto"/>
          <w:kern w:val="0"/>
          <w:sz w:val="26"/>
          <w:szCs w:val="26"/>
          <w:lang w:val="ru-RU" w:eastAsia="en-US" w:bidi="ar-SA"/>
        </w:rPr>
      </w:pPr>
      <w:r>
        <w:rPr>
          <w:rFonts w:eastAsia="Arial Unicode MS" w:cs="Arial" w:ascii="Arial" w:hAnsi="Arial"/>
          <w:b/>
          <w:color w:val="auto"/>
          <w:kern w:val="0"/>
          <w:sz w:val="26"/>
          <w:szCs w:val="26"/>
          <w:lang w:val="ru-RU" w:eastAsia="en-US" w:bidi="ar-SA"/>
        </w:rPr>
        <w:t>об особенности государственной регистрации прав на недвижимое имущество на основании договоров в случаях, если одна из сторон договора уклоняется от государственной регистрации, или в случаях смерти физического лица либо ликвидации юридического лица, являющихся стороной договора</w:t>
      </w:r>
    </w:p>
    <w:p>
      <w:pPr>
        <w:pStyle w:val="NoSpacing"/>
        <w:ind w:firstLine="708"/>
        <w:jc w:val="both"/>
        <w:rPr>
          <w:rFonts w:ascii="Times New Roman" w:hAnsi="Times New Roman" w:cs="Times New Roman"/>
          <w:sz w:val="28"/>
          <w:szCs w:val="28"/>
        </w:rPr>
      </w:pPr>
      <w:r>
        <w:rPr>
          <w:rFonts w:cs="Times New Roman" w:ascii="Times New Roman" w:hAnsi="Times New Roman"/>
          <w:sz w:val="28"/>
          <w:szCs w:val="28"/>
        </w:rPr>
      </w:r>
    </w:p>
    <w:p>
      <w:pPr>
        <w:pStyle w:val="Normal"/>
        <w:spacing w:lineRule="auto" w:line="240" w:before="0" w:after="0"/>
        <w:ind w:left="0" w:right="0" w:firstLine="709"/>
        <w:jc w:val="both"/>
        <w:rPr/>
      </w:pPr>
      <w:r>
        <w:rPr>
          <w:rFonts w:ascii="Times New Roman" w:hAnsi="Times New Roman"/>
          <w:bCs/>
          <w:sz w:val="28"/>
          <w:szCs w:val="28"/>
        </w:rPr>
        <w:t>Согласно пункту 1 статьи 8.1 Гражданского кодекса Российской Федерации (ГК РФ) в случаях, предусмотренных законом, права закрепляющие принадлежность объекта гражданских прав определенному лицу, ограничения таких прав и обременения имущества (права на имущество) подлежат государственной регистрации.</w:t>
      </w:r>
    </w:p>
    <w:p>
      <w:pPr>
        <w:pStyle w:val="Normal"/>
        <w:spacing w:lineRule="auto" w:line="240" w:before="0" w:after="0"/>
        <w:ind w:left="0" w:right="0" w:firstLine="709"/>
        <w:jc w:val="both"/>
        <w:rPr/>
      </w:pPr>
      <w:r>
        <w:rPr>
          <w:rFonts w:ascii="Times New Roman" w:hAnsi="Times New Roman"/>
          <w:bCs/>
          <w:sz w:val="28"/>
          <w:szCs w:val="28"/>
        </w:rPr>
        <w:t>В силу пункта 2 статьи 8.1 ГК РФ права на имущество, подлежащие государственной регистрации, возникают, изменяются и прекращаются с момента внесения соответствующей записи в государственный реестр.</w:t>
      </w:r>
    </w:p>
    <w:p>
      <w:pPr>
        <w:pStyle w:val="Normal"/>
        <w:spacing w:lineRule="auto" w:line="240" w:before="0" w:after="0"/>
        <w:ind w:left="0" w:right="0" w:firstLine="709"/>
        <w:jc w:val="both"/>
        <w:rPr/>
      </w:pPr>
      <w:r>
        <w:rPr>
          <w:rFonts w:ascii="Times New Roman" w:hAnsi="Times New Roman"/>
          <w:sz w:val="28"/>
          <w:szCs w:val="28"/>
        </w:rPr>
        <w:t xml:space="preserve">Вышеназванные положения имеют прямое отношение к государственной регистрации вещных прав (перехода прав) </w:t>
      </w:r>
      <w:r>
        <w:rPr>
          <w:rFonts w:ascii="Times New Roman" w:hAnsi="Times New Roman"/>
          <w:bCs/>
          <w:sz w:val="28"/>
          <w:szCs w:val="28"/>
        </w:rPr>
        <w:t>на недвижимое имущество (пункт 1 статьи 131 ГК РФ).</w:t>
      </w:r>
    </w:p>
    <w:p>
      <w:pPr>
        <w:pStyle w:val="Normal"/>
        <w:spacing w:lineRule="auto" w:line="240" w:before="0" w:after="0"/>
        <w:ind w:left="0" w:right="0" w:firstLine="709"/>
        <w:jc w:val="both"/>
        <w:rPr/>
      </w:pPr>
      <w:r>
        <w:rPr>
          <w:rFonts w:ascii="Times New Roman" w:hAnsi="Times New Roman"/>
          <w:bCs/>
          <w:sz w:val="28"/>
          <w:szCs w:val="28"/>
        </w:rPr>
        <w:t>В соответствии с частью 4 статьи 1 Федерального закона от 13.07.2015 № 218-ФЗ «О государственной регистрации недвижимости» (Закон о регистрации) г</w:t>
      </w:r>
      <w:r>
        <w:rPr>
          <w:rFonts w:ascii="Times New Roman" w:hAnsi="Times New Roman"/>
          <w:sz w:val="28"/>
          <w:szCs w:val="28"/>
        </w:rPr>
        <w:t>осударственная регистрация прав на объекты недвижимости осуществляется посредством внесения в Единый государственный реестр недвижимости (ЕГРН) записи о праве на недвижимое имущество.</w:t>
      </w:r>
    </w:p>
    <w:p>
      <w:pPr>
        <w:pStyle w:val="Normal"/>
        <w:spacing w:lineRule="auto" w:line="240" w:before="0" w:after="0"/>
        <w:ind w:left="0" w:right="0" w:firstLine="709"/>
        <w:jc w:val="both"/>
        <w:rPr/>
      </w:pPr>
      <w:r>
        <w:rPr>
          <w:rFonts w:ascii="Times New Roman" w:hAnsi="Times New Roman"/>
          <w:sz w:val="28"/>
          <w:szCs w:val="28"/>
        </w:rPr>
        <w:t>«При государственной регистрации договора и (или) права, ограничения права или обременения объекта недвижимости, возникающих на основании договора, г</w:t>
      </w:r>
      <w:r>
        <w:rPr>
          <w:rFonts w:ascii="Times New Roman" w:hAnsi="Times New Roman"/>
          <w:bCs/>
          <w:sz w:val="28"/>
          <w:szCs w:val="28"/>
        </w:rPr>
        <w:t>осударственная регистрация прав осуществляется в случае обращения в орган регистрации прав всех лиц, заключивших договор, если иное не установлено законом (</w:t>
      </w:r>
      <w:r>
        <w:rPr>
          <w:rFonts w:ascii="Times New Roman" w:hAnsi="Times New Roman"/>
          <w:sz w:val="28"/>
          <w:szCs w:val="28"/>
        </w:rPr>
        <w:t xml:space="preserve">пункт 3 части 3 статьи 15 Закона о регистрации)», - подчеркивает </w:t>
      </w:r>
      <w:r>
        <w:rPr>
          <w:rFonts w:eastAsia="Calibri" w:cs="" w:ascii="Times New Roman" w:hAnsi="Times New Roman" w:cstheme="minorBidi" w:eastAsiaTheme="minorHAnsi"/>
          <w:bCs/>
          <w:color w:val="auto"/>
          <w:kern w:val="0"/>
          <w:sz w:val="28"/>
          <w:szCs w:val="28"/>
          <w:lang w:val="ru-RU" w:eastAsia="en-US" w:bidi="ar-SA"/>
        </w:rPr>
        <w:t>Уполномоченный по защите прав предпринимателей во Владимирской области Алла Матюшкина.</w:t>
      </w:r>
    </w:p>
    <w:p>
      <w:pPr>
        <w:pStyle w:val="Normal"/>
        <w:spacing w:lineRule="auto" w:line="240" w:before="0" w:after="0"/>
        <w:ind w:left="0" w:right="0" w:firstLine="709"/>
        <w:jc w:val="both"/>
        <w:rPr/>
      </w:pPr>
      <w:r>
        <w:rPr>
          <w:rFonts w:ascii="Times New Roman" w:hAnsi="Times New Roman"/>
          <w:sz w:val="28"/>
          <w:szCs w:val="28"/>
        </w:rPr>
        <w:t>В связи с вступлением в силу Федерального закона от 30.12.2012 № 302-ФЗ  «О внесении изменений в главы 1-4 части первой ГК РФ» с 01.03.2013 установлена возможность осуществления государственной регистрации прав, возникающих на основании заключенного договора, по заявлению любой стороны сделки, совершённой в нотариальной форме, а также нотариуса (абзац 2 пункта 3 статьи 8.1 ГК РФ).</w:t>
      </w:r>
    </w:p>
    <w:p>
      <w:pPr>
        <w:pStyle w:val="Normal"/>
        <w:spacing w:lineRule="auto" w:line="240" w:before="0" w:after="0"/>
        <w:ind w:left="0" w:right="0" w:firstLine="709"/>
        <w:jc w:val="both"/>
        <w:rPr/>
      </w:pPr>
      <w:r>
        <w:rPr>
          <w:rFonts w:ascii="Times New Roman" w:hAnsi="Times New Roman"/>
          <w:sz w:val="28"/>
          <w:szCs w:val="28"/>
        </w:rPr>
        <w:t xml:space="preserve">Согласно части 9 статьи 15 Закона о регистрации (введенной Федеральным </w:t>
      </w:r>
      <w:hyperlink r:id="rId3">
        <w:r>
          <w:rPr>
            <w:rFonts w:ascii="Times New Roman" w:hAnsi="Times New Roman"/>
            <w:color w:val="000000"/>
            <w:sz w:val="28"/>
            <w:szCs w:val="24"/>
            <w:u w:val="none"/>
          </w:rPr>
          <w:t>законом</w:t>
        </w:r>
      </w:hyperlink>
      <w:r>
        <w:rPr>
          <w:rFonts w:ascii="Times New Roman" w:hAnsi="Times New Roman"/>
          <w:sz w:val="28"/>
          <w:szCs w:val="28"/>
        </w:rPr>
        <w:t xml:space="preserve"> от 30.04.2021 № 120-ФЗ) в случае ликвидации юридического лица или исключения недействующего юридического лица из Единого государственного реестра юридических лиц (ЕГРЮЛ) на момент подачи заявления о государственной регистрации перехода права собственности продавца, являющегося юридическим лицом, право собственности которого на отчуждаемый объект недвижимости зарегистрировано в ЕГРН, государственная регистрация перехода права собственности на данный объект недвижимости осуществляется на основании заявления покупателя и выписки из ЕГРЮЛ, подтверждающей внесение в этот реестр записи о ликвидации данного юридического лица или исключении недействующего юридического лица из ЕГРЮЛ, а также предусмотренных договором купли-продажи документов, подтверждающих исполнение сторонами договора своих обязательств (в том числе по полной уплате цены договора, по передаче объекта недвижимости). </w:t>
      </w:r>
    </w:p>
    <w:p>
      <w:pPr>
        <w:pStyle w:val="Normal"/>
        <w:spacing w:lineRule="auto" w:line="240" w:before="0" w:after="0"/>
        <w:ind w:left="0" w:right="0" w:firstLine="709"/>
        <w:jc w:val="both"/>
        <w:rPr/>
      </w:pPr>
      <w:r>
        <w:rPr>
          <w:rFonts w:ascii="Times New Roman" w:hAnsi="Times New Roman"/>
          <w:sz w:val="28"/>
          <w:szCs w:val="28"/>
        </w:rPr>
        <w:t xml:space="preserve">«Во всех других случаях, если одна из сторон договора уклоняется от совершения действий по государственной регистрации права (перехода права) собственности в отношении недвижимого имущества (подачи соответствующего заявления в регистрирующий орган), другая сторона вправе обратиться в суд с иском к этой стороне о государственной регистрации перехода права собственности (часть </w:t>
      </w:r>
      <w:r>
        <w:rPr>
          <w:rFonts w:ascii="Times New Roman" w:hAnsi="Times New Roman"/>
          <w:bCs/>
          <w:sz w:val="28"/>
          <w:szCs w:val="28"/>
        </w:rPr>
        <w:t xml:space="preserve">7 статьи 15 Закона о регистрации)», - отмечает </w:t>
      </w:r>
      <w:r>
        <w:rPr>
          <w:rFonts w:eastAsia="Calibri" w:cs="Times New Roman" w:ascii="Times New Roman" w:hAnsi="Times New Roman" w:eastAsiaTheme="minorHAnsi"/>
          <w:bCs/>
          <w:color w:val="auto"/>
          <w:kern w:val="0"/>
          <w:sz w:val="28"/>
          <w:szCs w:val="28"/>
          <w:lang w:val="ru-RU" w:eastAsia="en-US" w:bidi="ar-SA"/>
        </w:rPr>
        <w:t xml:space="preserve">заведующий кафедрой гражданско-правовых дисциплин Владимирского филиала РАНХиГС, кандидат юридических наук </w:t>
      </w:r>
      <w:r>
        <w:rPr>
          <w:rStyle w:val="Strong"/>
          <w:rFonts w:eastAsia="Calibri" w:cs="Times New Roman" w:ascii="Times New Roman" w:hAnsi="Times New Roman" w:eastAsiaTheme="minorHAnsi"/>
          <w:b w:val="false"/>
          <w:bCs w:val="false"/>
          <w:color w:val="auto"/>
          <w:kern w:val="0"/>
          <w:sz w:val="28"/>
          <w:szCs w:val="28"/>
          <w:lang w:val="ru-RU" w:eastAsia="en-US" w:bidi="ar-SA"/>
        </w:rPr>
        <w:t>Андрей Баринов</w:t>
      </w:r>
      <w:r>
        <w:rPr>
          <w:rFonts w:eastAsia="Calibri" w:cs="Times New Roman" w:ascii="Times New Roman" w:hAnsi="Times New Roman" w:eastAsiaTheme="minorHAnsi"/>
          <w:b w:val="false"/>
          <w:bCs w:val="false"/>
          <w:color w:val="auto"/>
          <w:kern w:val="0"/>
          <w:sz w:val="28"/>
          <w:szCs w:val="28"/>
          <w:lang w:val="ru-RU" w:eastAsia="en-US" w:bidi="ar-SA"/>
        </w:rPr>
        <w:t>.</w:t>
      </w:r>
    </w:p>
    <w:p>
      <w:pPr>
        <w:pStyle w:val="Normal"/>
        <w:spacing w:lineRule="auto" w:line="240" w:before="0" w:after="0"/>
        <w:ind w:left="0" w:right="0" w:firstLine="709"/>
        <w:jc w:val="both"/>
        <w:rPr/>
      </w:pPr>
      <w:r>
        <w:rPr>
          <w:rFonts w:ascii="Times New Roman" w:hAnsi="Times New Roman"/>
          <w:sz w:val="28"/>
          <w:szCs w:val="28"/>
        </w:rPr>
        <w:t>Вступившее в законную силу решение суда о государственной регистрации перехода права собственности, разрешившее правовой спор между участниками сделки, подменяет собой соответствующее заявление уклоняющейся стороны сделки.</w:t>
      </w:r>
    </w:p>
    <w:p>
      <w:pPr>
        <w:pStyle w:val="Normal"/>
        <w:spacing w:lineRule="auto" w:line="240" w:before="0" w:after="0"/>
        <w:ind w:left="0" w:right="0" w:firstLine="709"/>
        <w:jc w:val="both"/>
        <w:rPr/>
      </w:pPr>
      <w:r>
        <w:rPr>
          <w:rFonts w:ascii="Times New Roman" w:hAnsi="Times New Roman"/>
          <w:sz w:val="28"/>
          <w:szCs w:val="28"/>
        </w:rPr>
        <w:t>На практике часто имеют место случаи, когда после заключения договора купли-продажи (дарения) недвижимого имущества в простой письменной форме (без нотариального удостоверения) стороны договора в течение длительного периода не обращаются в органы регистрации прав, и в течение этого времени умирает физическое лицо, являющееся одной из сторон договора.</w:t>
      </w:r>
    </w:p>
    <w:p>
      <w:pPr>
        <w:pStyle w:val="Normal"/>
        <w:spacing w:lineRule="auto" w:line="240" w:before="0" w:after="0"/>
        <w:ind w:left="0" w:right="0" w:firstLine="709"/>
        <w:jc w:val="both"/>
        <w:rPr/>
      </w:pPr>
      <w:r>
        <w:rPr>
          <w:rFonts w:ascii="Times New Roman" w:hAnsi="Times New Roman"/>
          <w:sz w:val="28"/>
          <w:szCs w:val="28"/>
        </w:rPr>
        <w:t xml:space="preserve">При этом право собственности на принадлежащее ему имущество переходит по наследству к другим лицам в порядке универсального правопреемства (пункт 2 статьи 218, </w:t>
      </w:r>
      <w:hyperlink r:id="rId4">
        <w:r>
          <w:rPr>
            <w:rFonts w:ascii="Times New Roman" w:hAnsi="Times New Roman"/>
            <w:color w:val="000000"/>
            <w:sz w:val="28"/>
            <w:szCs w:val="24"/>
            <w:u w:val="none"/>
          </w:rPr>
          <w:t>пункт 1 статьи 1110</w:t>
        </w:r>
      </w:hyperlink>
      <w:r>
        <w:rPr>
          <w:rStyle w:val="-"/>
          <w:rFonts w:eastAsia="Times New Roman"/>
          <w:color w:val="000000"/>
          <w:sz w:val="28"/>
          <w:u w:val="none"/>
        </w:rPr>
        <w:t xml:space="preserve"> ГК РФ</w:t>
      </w:r>
      <w:r>
        <w:rPr>
          <w:rFonts w:ascii="Times New Roman" w:hAnsi="Times New Roman"/>
          <w:sz w:val="28"/>
          <w:szCs w:val="28"/>
        </w:rPr>
        <w:t>) и принадлежит его наследникам со дня открытия наследства (дня смерти гражданина) независимо от времени фактического принятия наследства либо момента государственной регистрации права (</w:t>
      </w:r>
      <w:hyperlink r:id="rId5">
        <w:r>
          <w:rPr>
            <w:rFonts w:ascii="Times New Roman" w:hAnsi="Times New Roman"/>
            <w:color w:val="000000"/>
            <w:sz w:val="28"/>
            <w:szCs w:val="24"/>
            <w:u w:val="none"/>
          </w:rPr>
          <w:t>статьи 1113</w:t>
        </w:r>
      </w:hyperlink>
      <w:r>
        <w:rPr>
          <w:rFonts w:ascii="Times New Roman" w:hAnsi="Times New Roman"/>
          <w:sz w:val="28"/>
          <w:szCs w:val="28"/>
        </w:rPr>
        <w:t xml:space="preserve">, </w:t>
      </w:r>
      <w:hyperlink r:id="rId6">
        <w:r>
          <w:rPr>
            <w:rFonts w:ascii="Times New Roman" w:hAnsi="Times New Roman"/>
            <w:color w:val="000000"/>
            <w:sz w:val="28"/>
            <w:szCs w:val="24"/>
            <w:u w:val="none"/>
          </w:rPr>
          <w:t>1114</w:t>
        </w:r>
      </w:hyperlink>
      <w:r>
        <w:rPr>
          <w:rStyle w:val="-"/>
          <w:rFonts w:eastAsia="Times New Roman"/>
          <w:color w:val="000000"/>
          <w:sz w:val="28"/>
          <w:u w:val="none"/>
        </w:rPr>
        <w:t xml:space="preserve">, </w:t>
      </w:r>
      <w:hyperlink r:id="rId7">
        <w:r>
          <w:rPr>
            <w:rFonts w:ascii="Times New Roman" w:hAnsi="Times New Roman"/>
            <w:color w:val="000000"/>
            <w:sz w:val="28"/>
            <w:szCs w:val="24"/>
            <w:u w:val="none"/>
          </w:rPr>
          <w:t>пункт 4 статьи 1152</w:t>
        </w:r>
      </w:hyperlink>
      <w:r>
        <w:rPr>
          <w:rFonts w:ascii="Times New Roman" w:hAnsi="Times New Roman"/>
          <w:sz w:val="28"/>
          <w:szCs w:val="28"/>
        </w:rPr>
        <w:t xml:space="preserve"> ГК РФ).</w:t>
      </w:r>
    </w:p>
    <w:p>
      <w:pPr>
        <w:pStyle w:val="Normal"/>
        <w:spacing w:lineRule="auto" w:line="240" w:before="0" w:after="0"/>
        <w:ind w:left="0" w:right="0" w:firstLine="709"/>
        <w:jc w:val="both"/>
        <w:rPr/>
      </w:pPr>
      <w:r>
        <w:rPr>
          <w:rFonts w:ascii="Times New Roman" w:hAnsi="Times New Roman"/>
          <w:sz w:val="28"/>
          <w:szCs w:val="28"/>
        </w:rPr>
        <w:t>В результате подобных событий исчезает участник договора (правоотчуждатель), а у имущества появляются новые собственники (наследники), что блокирует возможность осуществления государственной регистрации перехода права собственности.</w:t>
      </w:r>
    </w:p>
    <w:p>
      <w:pPr>
        <w:pStyle w:val="Normal"/>
        <w:spacing w:lineRule="auto" w:line="240" w:before="0" w:after="0"/>
        <w:ind w:left="0" w:right="0" w:firstLine="709"/>
        <w:jc w:val="both"/>
        <w:rPr/>
      </w:pPr>
      <w:r>
        <w:rPr>
          <w:rFonts w:cs="" w:ascii="Times New Roman" w:hAnsi="Times New Roman" w:cstheme="minorBidi"/>
          <w:sz w:val="28"/>
          <w:szCs w:val="28"/>
          <w:shd w:fill="auto" w:val="clear"/>
        </w:rPr>
        <w:t>Заместитель руководителя Управления Александр Киреев</w:t>
      </w:r>
      <w:r>
        <w:rPr>
          <w:rFonts w:ascii="Times New Roman" w:hAnsi="Times New Roman"/>
          <w:sz w:val="28"/>
          <w:szCs w:val="28"/>
          <w:shd w:fill="auto" w:val="clear"/>
        </w:rPr>
        <w:t xml:space="preserve"> </w:t>
      </w:r>
      <w:r>
        <w:rPr>
          <w:rFonts w:ascii="Times New Roman" w:hAnsi="Times New Roman"/>
          <w:sz w:val="28"/>
          <w:szCs w:val="28"/>
        </w:rPr>
        <w:t xml:space="preserve">подчеркнул, что «Законом о регистрации не урегулирован порядок регистрации перехода права собственности на объект недвижимости на основании заявления одной стороны сделки в случае смерти физического лица, являющегося второй стороной данной сделки. Выходом из данного положения является возможность применения к имеющимся правоотношениям правовых норм, регулирующих сходные отношения (пункт 1 статьи 6 ГК РФ) по </w:t>
      </w:r>
      <w:r>
        <w:rPr>
          <w:rFonts w:ascii="Times New Roman" w:hAnsi="Times New Roman"/>
          <w:bCs/>
          <w:sz w:val="28"/>
          <w:szCs w:val="28"/>
        </w:rPr>
        <w:t xml:space="preserve">регистрации перехода прав  </w:t>
      </w:r>
      <w:r>
        <w:rPr>
          <w:rFonts w:ascii="Times New Roman" w:hAnsi="Times New Roman"/>
          <w:sz w:val="28"/>
          <w:szCs w:val="28"/>
        </w:rPr>
        <w:t>на основании судебного акта,</w:t>
      </w:r>
      <w:r>
        <w:rPr>
          <w:rFonts w:ascii="Times New Roman" w:hAnsi="Times New Roman"/>
          <w:bCs/>
          <w:sz w:val="28"/>
          <w:szCs w:val="28"/>
        </w:rPr>
        <w:t xml:space="preserve"> в случае </w:t>
      </w:r>
      <w:r>
        <w:rPr>
          <w:rFonts w:ascii="Times New Roman" w:hAnsi="Times New Roman"/>
          <w:sz w:val="28"/>
          <w:szCs w:val="28"/>
        </w:rPr>
        <w:t xml:space="preserve">уклонения от этого одной из сторон договора, то есть статей 165, 551 ГК РФ, части 7 статьи 15 </w:t>
      </w:r>
      <w:r>
        <w:rPr>
          <w:rFonts w:ascii="Times New Roman" w:hAnsi="Times New Roman"/>
          <w:bCs/>
          <w:sz w:val="28"/>
          <w:szCs w:val="28"/>
        </w:rPr>
        <w:t>Закона  о регистрации»</w:t>
      </w:r>
      <w:r>
        <w:rPr>
          <w:rFonts w:ascii="Times New Roman" w:hAnsi="Times New Roman"/>
          <w:sz w:val="28"/>
          <w:szCs w:val="28"/>
        </w:rPr>
        <w:t>.</w:t>
      </w:r>
    </w:p>
    <w:p>
      <w:pPr>
        <w:pStyle w:val="Normal"/>
        <w:spacing w:lineRule="auto" w:line="240" w:before="0" w:after="0"/>
        <w:ind w:left="0" w:right="0" w:firstLine="709"/>
        <w:jc w:val="both"/>
        <w:rPr/>
      </w:pPr>
      <w:r>
        <w:rPr>
          <w:rFonts w:ascii="Times New Roman" w:hAnsi="Times New Roman"/>
          <w:sz w:val="28"/>
          <w:szCs w:val="28"/>
        </w:rPr>
        <w:t>Соответственно, в случаях уклонения одной из сторон договора купли-продажи (дарения) от государственной регистрации перехода права собственности на основании договора, а также в случае смерти физического лица, являющегося одной из сторон такого договора, на основании которого происходит отчуждение недвижимого имущества, государственная регистрация перехода права собственности на недвижимое имущество, являющееся предметом договора, может быть осуществлена на основании судебного акта о государственной регистрации перехода права собственности на объект недвижимого имущества.</w:t>
      </w:r>
    </w:p>
    <w:p>
      <w:pPr>
        <w:pStyle w:val="Normal"/>
        <w:spacing w:lineRule="auto" w:line="240" w:before="0" w:after="0"/>
        <w:ind w:left="0" w:right="0" w:firstLine="709"/>
        <w:jc w:val="both"/>
        <w:rPr/>
      </w:pPr>
      <w:r>
        <w:rPr>
          <w:rFonts w:ascii="Times New Roman" w:hAnsi="Times New Roman"/>
          <w:sz w:val="28"/>
          <w:szCs w:val="28"/>
        </w:rPr>
        <w:t>В случае если наследники отсутствуют либо никто из наследников    не принял наследство или не имеет права наследовать, либо все наследники отстранены от наследования или отказались от наследства и при этом никто из них не указал, что отказывается в пользу другого наследника, имущество умершего считается выморочным (пункт 1 статьи 1151 ГК РФ) и переходит в порядке наследования по закону  в собственность Российской Федерации, субъектов Российской Федерации или муниципальных образований, в зависимости от вида объекта недвижимости (пункт 2 статьи 1151 ГК РФ).</w:t>
      </w:r>
    </w:p>
    <w:p>
      <w:pPr>
        <w:pStyle w:val="Normal"/>
        <w:spacing w:lineRule="auto" w:line="240" w:before="0" w:after="0"/>
        <w:ind w:left="0" w:right="0" w:firstLine="709"/>
        <w:jc w:val="both"/>
        <w:rPr/>
      </w:pPr>
      <w:r>
        <w:rPr>
          <w:rFonts w:ascii="Times New Roman" w:hAnsi="Times New Roman"/>
          <w:sz w:val="28"/>
          <w:szCs w:val="28"/>
        </w:rPr>
        <w:t>Таким образом, ответчиками по искам о государственной регистрации перехода права собственности в этом случае должны быть лица, являющиеся владельцами выморочного имущества.</w:t>
      </w:r>
    </w:p>
    <w:p>
      <w:pPr>
        <w:pStyle w:val="ConsPlusNormal1"/>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ConsPlusNormal1"/>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ConsPlusNormal1"/>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BodyTextIndent3"/>
        <w:spacing w:before="0" w:after="0"/>
        <w:ind w:left="0" w:firstLine="709"/>
        <w:contextualSpacing/>
        <w:jc w:val="right"/>
        <w:rPr>
          <w:i/>
          <w:i/>
          <w:color w:val="201600"/>
          <w:sz w:val="24"/>
          <w:szCs w:val="24"/>
        </w:rPr>
      </w:pPr>
      <w:r>
        <w:rPr>
          <w:i/>
          <w:color w:val="201600"/>
          <w:sz w:val="24"/>
          <w:szCs w:val="24"/>
        </w:rPr>
        <w:t xml:space="preserve">Материал подготовлен Управлением Росреестра </w:t>
      </w:r>
    </w:p>
    <w:p>
      <w:pPr>
        <w:pStyle w:val="BodyTextIndent3"/>
        <w:spacing w:before="0" w:after="0"/>
        <w:ind w:left="0" w:firstLine="709"/>
        <w:contextualSpacing/>
        <w:jc w:val="right"/>
        <w:rPr>
          <w:i/>
          <w:i/>
          <w:color w:val="201600"/>
          <w:sz w:val="24"/>
          <w:szCs w:val="24"/>
        </w:rPr>
      </w:pPr>
      <w:r>
        <w:rPr>
          <w:i/>
          <w:color w:val="201600"/>
          <w:sz w:val="24"/>
          <w:szCs w:val="24"/>
        </w:rPr>
        <w:t>по Владимирской области</w:t>
      </w:r>
    </w:p>
    <w:p>
      <w:pPr>
        <w:pStyle w:val="Normal"/>
        <w:ind w:firstLine="709"/>
        <w:jc w:val="both"/>
        <w:rPr>
          <w:rFonts w:ascii="Segoe UI" w:hAnsi="Segoe UI" w:cs="Segoe UI"/>
          <w:b/>
          <w:color w:val="0070C0"/>
          <w:lang w:eastAsia="sk-SK"/>
        </w:rPr>
      </w:pPr>
      <w:r>
        <w:rPr>
          <w:rFonts w:cs="Segoe UI" w:ascii="Segoe UI" w:hAnsi="Segoe UI"/>
          <w:b/>
          <w:color w:val="0070C0"/>
          <w:lang w:eastAsia="sk-SK"/>
        </w:rPr>
        <mc:AlternateContent>
          <mc:Choice Requires="wps">
            <w:drawing>
              <wp:anchor behindDoc="0" distT="8890" distB="8255" distL="8255" distR="8890" simplePos="0" locked="0" layoutInCell="1" allowOverlap="1" relativeHeight="2" wp14:anchorId="0ACE44A2">
                <wp:simplePos x="0" y="0"/>
                <wp:positionH relativeFrom="column">
                  <wp:posOffset>-75565</wp:posOffset>
                </wp:positionH>
                <wp:positionV relativeFrom="paragraph">
                  <wp:posOffset>48895</wp:posOffset>
                </wp:positionV>
                <wp:extent cx="6000750" cy="635"/>
                <wp:effectExtent l="8255" t="8890" r="8890" b="8255"/>
                <wp:wrapNone/>
                <wp:docPr id="2" name="Прямая со стрелкой 2"/>
                <a:graphic xmlns:a="http://schemas.openxmlformats.org/drawingml/2006/main">
                  <a:graphicData uri="http://schemas.microsoft.com/office/word/2010/wordprocessingShape">
                    <wps:wsp>
                      <wps:cNvSpPr/>
                      <wps:spPr>
                        <a:xfrm>
                          <a:off x="0" y="0"/>
                          <a:ext cx="6000840" cy="720"/>
                        </a:xfrm>
                        <a:prstGeom prst="straightConnector1">
                          <a:avLst/>
                        </a:prstGeom>
                        <a:noFill/>
                        <a:ln w="15875">
                          <a:solidFill>
                            <a:srgbClr val="0070c0"/>
                          </a:solidFill>
                          <a:round/>
                        </a:ln>
                      </wps:spPr>
                      <wps:style>
                        <a:lnRef idx="0"/>
                        <a:fillRef idx="0"/>
                        <a:effectRef idx="0"/>
                        <a:fontRef idx="minor"/>
                      </wps:style>
                      <wps:bodyPr/>
                    </wps:wsp>
                  </a:graphicData>
                </a:graphic>
              </wp:anchor>
            </w:drawing>
          </mc:Choice>
          <mc:Fallback>
            <w:pict>
              <v:shapetype id="_x0000_t32" coordsize="21600,21600" o:spt="32" path="m,l21600,21600nfe">
                <v:stroke joinstyle="miter"/>
                <v:path gradientshapeok="t" o:connecttype="rect" textboxrect="0,0,21600,21600"/>
              </v:shapetype>
              <v:shape id="shape_0" ID="Прямая со стрелкой 2" path="m0,0l-2147483648,-2147483647e" stroked="t" o:allowincell="f" style="position:absolute;margin-left:-5.95pt;margin-top:3.85pt;width:472.45pt;height:0pt;mso-wrap-style:none;v-text-anchor:middle" wp14:anchorId="0ACE44A2" type="_x0000_t32">
                <v:fill o:detectmouseclick="t" on="false"/>
                <v:stroke color="#0070c0" weight="15840" joinstyle="round" endcap="flat"/>
                <w10:wrap type="none"/>
              </v:shape>
            </w:pict>
          </mc:Fallback>
        </mc:AlternateContent>
      </w:r>
    </w:p>
    <w:p>
      <w:pPr>
        <w:pStyle w:val="Normal"/>
        <w:jc w:val="both"/>
        <w:rPr>
          <w:rFonts w:ascii="Segoe UI" w:hAnsi="Segoe UI" w:cs="Segoe UI"/>
          <w:b/>
          <w:lang w:eastAsia="sk-SK"/>
        </w:rPr>
      </w:pPr>
      <w:r>
        <w:rPr>
          <w:rFonts w:cs="Segoe UI" w:ascii="Segoe UI" w:hAnsi="Segoe UI"/>
          <w:b/>
          <w:lang w:eastAsia="sk-SK"/>
        </w:rPr>
        <w:t>Контакты для СМИ</w:t>
      </w:r>
    </w:p>
    <w:p>
      <w:pPr>
        <w:pStyle w:val="NormalWeb"/>
        <w:spacing w:before="0" w:after="0"/>
        <w:rPr>
          <w:rFonts w:ascii="Times New Roman" w:hAnsi="Times New Roman"/>
          <w:sz w:val="24"/>
          <w:szCs w:val="24"/>
        </w:rPr>
      </w:pPr>
      <w:r>
        <w:rPr>
          <w:rFonts w:eastAsia="Calibri" w:cs="Segoe UI"/>
          <w:sz w:val="24"/>
          <w:szCs w:val="24"/>
          <w:lang w:eastAsia="en-US"/>
        </w:rPr>
        <w:t>Управление Росреестра по Владимирской области</w:t>
      </w:r>
    </w:p>
    <w:p>
      <w:pPr>
        <w:pStyle w:val="NormalWeb"/>
        <w:spacing w:before="0" w:after="0"/>
        <w:rPr>
          <w:rFonts w:ascii="Times New Roman" w:hAnsi="Times New Roman"/>
          <w:sz w:val="24"/>
          <w:szCs w:val="24"/>
        </w:rPr>
      </w:pPr>
      <w:r>
        <w:rPr>
          <w:rFonts w:eastAsia="Calibri" w:cs="Segoe UI"/>
          <w:sz w:val="24"/>
          <w:szCs w:val="24"/>
          <w:lang w:eastAsia="en-US"/>
        </w:rPr>
        <w:t>г. Владимир, ул. Офицерская, д. 33-а</w:t>
      </w:r>
    </w:p>
    <w:p>
      <w:pPr>
        <w:pStyle w:val="NormalWeb"/>
        <w:spacing w:before="0" w:after="0"/>
        <w:rPr>
          <w:rFonts w:ascii="Times New Roman" w:hAnsi="Times New Roman"/>
          <w:sz w:val="24"/>
          <w:szCs w:val="24"/>
        </w:rPr>
      </w:pPr>
      <w:r>
        <w:rPr>
          <w:rFonts w:eastAsia="Calibri" w:cs="Segoe UI"/>
          <w:sz w:val="24"/>
          <w:szCs w:val="24"/>
          <w:lang w:eastAsia="en-US"/>
        </w:rPr>
        <w:t>Отдел организации, мониторинга и контроля</w:t>
      </w:r>
    </w:p>
    <w:p>
      <w:pPr>
        <w:pStyle w:val="NormalWeb"/>
        <w:spacing w:before="0" w:after="0"/>
        <w:rPr>
          <w:rFonts w:ascii="Times New Roman" w:hAnsi="Times New Roman"/>
          <w:sz w:val="24"/>
          <w:szCs w:val="24"/>
        </w:rPr>
      </w:pPr>
      <w:r>
        <w:rPr>
          <w:rFonts w:eastAsia="Calibri" w:cs="Segoe UI"/>
          <w:sz w:val="24"/>
          <w:szCs w:val="24"/>
          <w:lang w:eastAsia="en-US"/>
        </w:rPr>
        <w:t>(4922) 45-08-29</w:t>
      </w:r>
    </w:p>
    <w:p>
      <w:pPr>
        <w:pStyle w:val="Normal"/>
        <w:spacing w:before="0" w:after="160"/>
        <w:rPr>
          <w:rFonts w:ascii="Times New Roman" w:hAnsi="Times New Roman"/>
          <w:sz w:val="24"/>
          <w:szCs w:val="24"/>
        </w:rPr>
      </w:pPr>
      <w:r>
        <w:rPr>
          <w:rFonts w:ascii="Times New Roman" w:hAnsi="Times New Roman"/>
          <w:sz w:val="24"/>
          <w:szCs w:val="24"/>
        </w:rPr>
        <w:t>(4922) 45-08-26</w:t>
      </w:r>
    </w:p>
    <w:sectPr>
      <w:type w:val="nextPage"/>
      <w:pgSz w:w="11906" w:h="16838"/>
      <w:pgMar w:left="1701" w:right="850" w:gutter="0" w:header="0" w:top="1620" w:footer="0" w:bottom="851"/>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default"/>
  </w:font>
  <w:font w:name="Calibri Light">
    <w:charset w:val="01"/>
    <w:family w:val="roman"/>
    <w:pitch w:val="default"/>
  </w:font>
  <w:font w:name="Segoe UI">
    <w:charset w:val="01"/>
    <w:family w:val="roman"/>
    <w:pitch w:val="default"/>
  </w:font>
  <w:font w:name="Times New Roman">
    <w:charset w:val="01"/>
    <w:family w:val="roman"/>
    <w:pitch w:val="default"/>
  </w:font>
  <w:font w:name="Arial">
    <w:charset w:val="01"/>
    <w:family w:val="roman"/>
    <w:pitch w:val="default"/>
  </w:font>
  <w:font w:name="PT Astra Serif">
    <w:charset w:val="01"/>
    <w:family w:val="roman"/>
    <w:pitch w:val="default"/>
  </w:font>
</w:fonts>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3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suppressAutoHyphens w:val="true"/>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paragraph" w:styleId="1">
    <w:name w:val="Heading 1"/>
    <w:basedOn w:val="Normal"/>
    <w:next w:val="Normal"/>
    <w:link w:val="11"/>
    <w:uiPriority w:val="9"/>
    <w:qFormat/>
    <w:rsid w:val="00235eef"/>
    <w:pPr>
      <w:keepNext w:val="true"/>
      <w:keepLines/>
      <w:spacing w:before="240" w:after="0"/>
      <w:outlineLvl w:val="0"/>
    </w:pPr>
    <w:rPr>
      <w:rFonts w:ascii="Calibri Light" w:hAnsi="Calibri Light" w:eastAsia="" w:cs="" w:asciiTheme="majorHAnsi" w:cstheme="majorBidi" w:eastAsiaTheme="majorEastAsia" w:hAnsiTheme="majorHAnsi"/>
      <w:color w:val="2E74B5" w:themeColor="accent1" w:themeShade="bf"/>
      <w:sz w:val="32"/>
      <w:szCs w:val="32"/>
    </w:rPr>
  </w:style>
  <w:style w:type="character" w:styleId="DefaultParagraphFont" w:default="1">
    <w:name w:val="Default Paragraph Font"/>
    <w:uiPriority w:val="1"/>
    <w:semiHidden/>
    <w:unhideWhenUsed/>
    <w:qFormat/>
    <w:rPr/>
  </w:style>
  <w:style w:type="character" w:styleId="Style13" w:customStyle="1">
    <w:name w:val="Текст выноски Знак"/>
    <w:basedOn w:val="DefaultParagraphFont"/>
    <w:link w:val="BalloonText"/>
    <w:uiPriority w:val="99"/>
    <w:semiHidden/>
    <w:qFormat/>
    <w:rsid w:val="00df02f6"/>
    <w:rPr>
      <w:rFonts w:ascii="Segoe UI" w:hAnsi="Segoe UI" w:cs="Segoe UI"/>
      <w:sz w:val="18"/>
      <w:szCs w:val="18"/>
    </w:rPr>
  </w:style>
  <w:style w:type="character" w:styleId="11" w:customStyle="1">
    <w:name w:val="Заголовок 1 Знак"/>
    <w:basedOn w:val="DefaultParagraphFont"/>
    <w:uiPriority w:val="9"/>
    <w:qFormat/>
    <w:rsid w:val="00235eef"/>
    <w:rPr>
      <w:rFonts w:ascii="Calibri Light" w:hAnsi="Calibri Light" w:eastAsia="" w:cs="" w:asciiTheme="majorHAnsi" w:cstheme="majorBidi" w:eastAsiaTheme="majorEastAsia" w:hAnsiTheme="majorHAnsi"/>
      <w:color w:val="2E74B5" w:themeColor="accent1" w:themeShade="bf"/>
      <w:sz w:val="32"/>
      <w:szCs w:val="32"/>
    </w:rPr>
  </w:style>
  <w:style w:type="character" w:styleId="-">
    <w:name w:val="Hyperlink"/>
    <w:basedOn w:val="DefaultParagraphFont"/>
    <w:uiPriority w:val="99"/>
    <w:unhideWhenUsed/>
    <w:rsid w:val="00495c8f"/>
    <w:rPr>
      <w:color w:val="0563C1" w:themeColor="hyperlink"/>
      <w:u w:val="single"/>
    </w:rPr>
  </w:style>
  <w:style w:type="character" w:styleId="Annotationreference">
    <w:name w:val="annotation reference"/>
    <w:basedOn w:val="DefaultParagraphFont"/>
    <w:uiPriority w:val="99"/>
    <w:semiHidden/>
    <w:unhideWhenUsed/>
    <w:qFormat/>
    <w:rsid w:val="00f93aab"/>
    <w:rPr>
      <w:sz w:val="16"/>
      <w:szCs w:val="16"/>
    </w:rPr>
  </w:style>
  <w:style w:type="character" w:styleId="Style14" w:customStyle="1">
    <w:name w:val="Текст примечания Знак"/>
    <w:basedOn w:val="DefaultParagraphFont"/>
    <w:link w:val="Annotationtext"/>
    <w:uiPriority w:val="99"/>
    <w:semiHidden/>
    <w:qFormat/>
    <w:rsid w:val="00f93aab"/>
    <w:rPr>
      <w:sz w:val="20"/>
      <w:szCs w:val="20"/>
    </w:rPr>
  </w:style>
  <w:style w:type="character" w:styleId="Style15" w:customStyle="1">
    <w:name w:val="Тема примечания Знак"/>
    <w:basedOn w:val="Style14"/>
    <w:link w:val="Annotationsubject"/>
    <w:uiPriority w:val="99"/>
    <w:semiHidden/>
    <w:qFormat/>
    <w:rsid w:val="00f93aab"/>
    <w:rPr>
      <w:b/>
      <w:bCs/>
      <w:sz w:val="20"/>
      <w:szCs w:val="20"/>
    </w:rPr>
  </w:style>
  <w:style w:type="character" w:styleId="3" w:customStyle="1">
    <w:name w:val="Основной текст с отступом 3 Знак"/>
    <w:basedOn w:val="DefaultParagraphFont"/>
    <w:link w:val="BodyTextIndent3"/>
    <w:uiPriority w:val="99"/>
    <w:qFormat/>
    <w:rsid w:val="00430e6d"/>
    <w:rPr>
      <w:rFonts w:ascii="Times New Roman" w:hAnsi="Times New Roman" w:eastAsia="Arial Unicode MS" w:cs="Mangal"/>
      <w:kern w:val="2"/>
      <w:sz w:val="16"/>
      <w:szCs w:val="14"/>
      <w:lang w:eastAsia="hi-IN" w:bidi="hi-IN"/>
    </w:rPr>
  </w:style>
  <w:style w:type="character" w:styleId="ConsPlusNormal" w:customStyle="1">
    <w:name w:val="ConsPlusNormal Знак"/>
    <w:link w:val="ConsPlusNormal1"/>
    <w:qFormat/>
    <w:locked/>
    <w:rsid w:val="00f96508"/>
    <w:rPr>
      <w:rFonts w:ascii="Arial" w:hAnsi="Arial" w:cs="Arial"/>
      <w:sz w:val="20"/>
      <w:szCs w:val="20"/>
    </w:rPr>
  </w:style>
  <w:style w:type="character" w:styleId="BodyText2" w:customStyle="1">
    <w:name w:val="Body Text 2 Знак"/>
    <w:link w:val="21"/>
    <w:qFormat/>
    <w:rsid w:val="005f3b17"/>
    <w:rPr>
      <w:rFonts w:ascii="Times New Roman" w:hAnsi="Times New Roman" w:eastAsia="Times New Roman" w:cs="Times New Roman"/>
      <w:sz w:val="24"/>
      <w:szCs w:val="20"/>
      <w:lang w:eastAsia="ru-RU"/>
    </w:rPr>
  </w:style>
  <w:style w:type="character" w:styleId="Strong">
    <w:name w:val="Strong"/>
    <w:qFormat/>
    <w:rPr>
      <w:b/>
      <w:bCs/>
    </w:rPr>
  </w:style>
  <w:style w:type="paragraph" w:styleId="Style16">
    <w:name w:val="Заголовок"/>
    <w:basedOn w:val="Normal"/>
    <w:next w:val="Style17"/>
    <w:qFormat/>
    <w:pPr>
      <w:keepNext w:val="true"/>
      <w:spacing w:before="240" w:after="120"/>
    </w:pPr>
    <w:rPr>
      <w:rFonts w:ascii="PT Astra Serif" w:hAnsi="PT Astra Serif" w:eastAsia="Tahoma" w:cs="Noto Sans Devanagari"/>
      <w:sz w:val="28"/>
      <w:szCs w:val="28"/>
    </w:rPr>
  </w:style>
  <w:style w:type="paragraph" w:styleId="Style17">
    <w:name w:val="Body Text"/>
    <w:basedOn w:val="Normal"/>
    <w:pPr>
      <w:spacing w:lineRule="auto" w:line="276" w:before="0" w:after="140"/>
    </w:pPr>
    <w:rPr/>
  </w:style>
  <w:style w:type="paragraph" w:styleId="Style18">
    <w:name w:val="List"/>
    <w:basedOn w:val="Style17"/>
    <w:pPr/>
    <w:rPr>
      <w:rFonts w:ascii="PT Astra Serif" w:hAnsi="PT Astra Serif" w:cs="Noto Sans Devanagari"/>
    </w:rPr>
  </w:style>
  <w:style w:type="paragraph" w:styleId="Style19">
    <w:name w:val="Caption"/>
    <w:basedOn w:val="Normal"/>
    <w:qFormat/>
    <w:pPr>
      <w:suppressLineNumbers/>
      <w:spacing w:before="120" w:after="120"/>
    </w:pPr>
    <w:rPr>
      <w:rFonts w:ascii="PT Astra Serif" w:hAnsi="PT Astra Serif" w:cs="Noto Sans Devanagari"/>
      <w:i/>
      <w:iCs/>
      <w:sz w:val="24"/>
      <w:szCs w:val="24"/>
    </w:rPr>
  </w:style>
  <w:style w:type="paragraph" w:styleId="Style20">
    <w:name w:val="Указатель"/>
    <w:basedOn w:val="Normal"/>
    <w:qFormat/>
    <w:pPr>
      <w:suppressLineNumbers/>
    </w:pPr>
    <w:rPr>
      <w:rFonts w:ascii="PT Astra Serif" w:hAnsi="PT Astra Serif" w:cs="Noto Sans Devanagari"/>
    </w:rPr>
  </w:style>
  <w:style w:type="paragraph" w:styleId="BalloonText">
    <w:name w:val="Balloon Text"/>
    <w:basedOn w:val="Normal"/>
    <w:link w:val="Style13"/>
    <w:uiPriority w:val="99"/>
    <w:semiHidden/>
    <w:unhideWhenUsed/>
    <w:qFormat/>
    <w:rsid w:val="00df02f6"/>
    <w:pPr>
      <w:spacing w:lineRule="auto" w:line="240" w:before="0" w:after="0"/>
    </w:pPr>
    <w:rPr>
      <w:rFonts w:ascii="Segoe UI" w:hAnsi="Segoe UI" w:cs="Segoe UI"/>
      <w:sz w:val="18"/>
      <w:szCs w:val="18"/>
    </w:rPr>
  </w:style>
  <w:style w:type="paragraph" w:styleId="NoSpacing">
    <w:name w:val="No Spacing"/>
    <w:uiPriority w:val="1"/>
    <w:qFormat/>
    <w:rsid w:val="00235eef"/>
    <w:pPr>
      <w:widowControl/>
      <w:suppressAutoHyphens w:val="true"/>
      <w:bidi w:val="0"/>
      <w:spacing w:lineRule="auto" w:line="240" w:before="0" w:after="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paragraph" w:styleId="ListParagraph">
    <w:name w:val="List Paragraph"/>
    <w:basedOn w:val="Normal"/>
    <w:uiPriority w:val="34"/>
    <w:qFormat/>
    <w:rsid w:val="00cb3098"/>
    <w:pPr>
      <w:spacing w:lineRule="auto" w:line="252" w:before="0" w:after="160"/>
      <w:ind w:left="720" w:hanging="0"/>
      <w:contextualSpacing/>
    </w:pPr>
    <w:rPr/>
  </w:style>
  <w:style w:type="paragraph" w:styleId="Annotationtext">
    <w:name w:val="annotation text"/>
    <w:basedOn w:val="Normal"/>
    <w:link w:val="Style14"/>
    <w:uiPriority w:val="99"/>
    <w:semiHidden/>
    <w:unhideWhenUsed/>
    <w:qFormat/>
    <w:rsid w:val="00f93aab"/>
    <w:pPr>
      <w:spacing w:lineRule="auto" w:line="240"/>
    </w:pPr>
    <w:rPr>
      <w:sz w:val="20"/>
      <w:szCs w:val="20"/>
    </w:rPr>
  </w:style>
  <w:style w:type="paragraph" w:styleId="Annotationsubject">
    <w:name w:val="annotation subject"/>
    <w:basedOn w:val="Annotationtext"/>
    <w:next w:val="Annotationtext"/>
    <w:link w:val="Style15"/>
    <w:uiPriority w:val="99"/>
    <w:semiHidden/>
    <w:unhideWhenUsed/>
    <w:qFormat/>
    <w:rsid w:val="00f93aab"/>
    <w:pPr/>
    <w:rPr>
      <w:b/>
      <w:bCs/>
    </w:rPr>
  </w:style>
  <w:style w:type="paragraph" w:styleId="NormalWeb">
    <w:name w:val="Normal (Web)"/>
    <w:basedOn w:val="Normal"/>
    <w:uiPriority w:val="99"/>
    <w:unhideWhenUsed/>
    <w:qFormat/>
    <w:rsid w:val="00430e6d"/>
    <w:pPr>
      <w:spacing w:lineRule="auto" w:line="240" w:before="0" w:after="96"/>
    </w:pPr>
    <w:rPr>
      <w:rFonts w:ascii="Times New Roman" w:hAnsi="Times New Roman" w:eastAsia="Times New Roman" w:cs="Times New Roman"/>
      <w:sz w:val="24"/>
      <w:szCs w:val="24"/>
      <w:lang w:eastAsia="ru-RU"/>
    </w:rPr>
  </w:style>
  <w:style w:type="paragraph" w:styleId="BodyTextIndent3">
    <w:name w:val="Body Text Indent 3"/>
    <w:basedOn w:val="Normal"/>
    <w:link w:val="3"/>
    <w:uiPriority w:val="99"/>
    <w:unhideWhenUsed/>
    <w:qFormat/>
    <w:rsid w:val="00430e6d"/>
    <w:pPr>
      <w:widowControl w:val="false"/>
      <w:suppressAutoHyphens w:val="true"/>
      <w:spacing w:lineRule="auto" w:line="240" w:before="0" w:after="120"/>
      <w:ind w:left="283" w:hanging="0"/>
    </w:pPr>
    <w:rPr>
      <w:rFonts w:ascii="Times New Roman" w:hAnsi="Times New Roman" w:eastAsia="Arial Unicode MS" w:cs="Mangal"/>
      <w:kern w:val="2"/>
      <w:sz w:val="16"/>
      <w:szCs w:val="14"/>
      <w:lang w:eastAsia="hi-IN" w:bidi="hi-IN"/>
    </w:rPr>
  </w:style>
  <w:style w:type="paragraph" w:styleId="ConsPlusNormal1" w:customStyle="1">
    <w:name w:val="ConsPlusNormal"/>
    <w:link w:val="ConsPlusNormal"/>
    <w:qFormat/>
    <w:rsid w:val="00f96508"/>
    <w:pPr>
      <w:widowControl/>
      <w:suppressAutoHyphens w:val="true"/>
      <w:bidi w:val="0"/>
      <w:spacing w:lineRule="auto" w:line="240" w:before="0" w:after="0"/>
      <w:jc w:val="left"/>
    </w:pPr>
    <w:rPr>
      <w:rFonts w:ascii="Arial" w:hAnsi="Arial" w:eastAsia="Calibri" w:cs="Arial" w:eastAsiaTheme="minorHAnsi"/>
      <w:color w:val="auto"/>
      <w:kern w:val="0"/>
      <w:sz w:val="20"/>
      <w:szCs w:val="20"/>
      <w:lang w:val="ru-RU" w:eastAsia="en-US" w:bidi="ar-SA"/>
    </w:rPr>
  </w:style>
  <w:style w:type="paragraph" w:styleId="21" w:customStyle="1">
    <w:name w:val="Основной текст 21"/>
    <w:basedOn w:val="Normal"/>
    <w:link w:val="BodyText2"/>
    <w:qFormat/>
    <w:rsid w:val="005f3b17"/>
    <w:pPr>
      <w:spacing w:lineRule="auto" w:line="240" w:before="0" w:after="0"/>
      <w:jc w:val="both"/>
    </w:pPr>
    <w:rPr>
      <w:rFonts w:ascii="Times New Roman" w:hAnsi="Times New Roman" w:eastAsia="Times New Roman" w:cs="Times New Roman"/>
      <w:sz w:val="24"/>
      <w:szCs w:val="20"/>
      <w:lang w:eastAsia="ru-RU"/>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hyperlink" Target="consultantplus://offline/ref=197903F0DE6658CA9098BB2B73C7FD7C34BD7B73D8B78FF48E9253B64DA07B7682C39EF60BA101849C4CE92C2FE8987032030ABB85B36929R926G" TargetMode="External"/><Relationship Id="rId4" Type="http://schemas.openxmlformats.org/officeDocument/2006/relationships/hyperlink" Target="consultantplus://offline/ref=E7FF7E12540D50C9D4A4E2BB09A7F876AD5F695EC2916DECE67F04C75A4105E1AE7973BAEB1804X7t8K" TargetMode="External"/><Relationship Id="rId5" Type="http://schemas.openxmlformats.org/officeDocument/2006/relationships/hyperlink" Target="consultantplus://offline/ref=E7FF7E12540D50C9D4A4E2BB09A7F876AD5F695EC2916DECE67F04C75A4105E1AE7973BAEB1804X7t1K" TargetMode="External"/><Relationship Id="rId6" Type="http://schemas.openxmlformats.org/officeDocument/2006/relationships/hyperlink" Target="consultantplus://offline/ref=E7FF7E12540D50C9D4A4E2BB09A7F876AD5F695EC2916DECE67F04C75A4105E1AE7973BAEB1807X7tAK" TargetMode="External"/><Relationship Id="rId7" Type="http://schemas.openxmlformats.org/officeDocument/2006/relationships/hyperlink" Target="consultantplus://offline/ref=E7FF7E12540D50C9D4A4E2BB09A7F876AD5F695EC2916DECE67F04C75A4105E1AE7973BAEB1A07X7tCK" TargetMode="External"/><Relationship Id="rId8" Type="http://schemas.openxmlformats.org/officeDocument/2006/relationships/fontTable" Target="fontTable.xml"/><Relationship Id="rId9" Type="http://schemas.openxmlformats.org/officeDocument/2006/relationships/settings" Target="settings.xml"/><Relationship Id="rId10"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916</TotalTime>
  <Application>LibreOffice/7.5.6.2$Linux_X86_64 LibreOffice_project/50$Build-2</Application>
  <AppVersion>15.0000</AppVersion>
  <Pages>3</Pages>
  <Words>902</Words>
  <Characters>6212</Characters>
  <CharactersWithSpaces>7233</CharactersWithSpaces>
  <Paragraphs>29</Paragraphs>
  <Company>Управление Росреестра по Владимирской области</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2022-06-23T07:13:00Z</dcterms:created>
  <dc:creator>Пушкарская Диана Дмитриевна</dc:creator>
  <dc:description/>
  <dc:language>ru-RU</dc:language>
  <cp:lastModifiedBy/>
  <cp:lastPrinted>2021-04-20T16:11:00Z</cp:lastPrinted>
  <dcterms:modified xsi:type="dcterms:W3CDTF">2024-06-13T16:53:39Z</dcterms:modified>
  <cp:revision>87</cp:revision>
  <dc:subject/>
  <dc:title/>
</cp:coreProperties>
</file>

<file path=docProps/custom.xml><?xml version="1.0" encoding="utf-8"?>
<Properties xmlns="http://schemas.openxmlformats.org/officeDocument/2006/custom-properties" xmlns:vt="http://schemas.openxmlformats.org/officeDocument/2006/docPropsVTypes"/>
</file>