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 Unicode MS" w:cs="Arial" w:ascii="Arial" w:hAnsi="Arial"/>
          <w:b/>
          <w:sz w:val="26"/>
          <w:szCs w:val="26"/>
        </w:rPr>
        <w:t xml:space="preserve">Управление Росреестра по Владимирской области информирует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 Unicode MS" w:cs="Arial" w:ascii="Arial" w:hAnsi="Arial"/>
          <w:b/>
          <w:sz w:val="26"/>
          <w:szCs w:val="26"/>
        </w:rPr>
        <w:t>о порядке прекращения осуществления государственного кадастрового учета и государственной регистрации прав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Управление Росреестра по Владимирской области сообщает, что в соответствии со статьей 31 Федерального закона от 13.07.2015 № 218-ФЗ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cs="Times New Roman" w:ascii="Times New Roman" w:hAnsi="Times New Roman"/>
          <w:sz w:val="28"/>
          <w:szCs w:val="28"/>
        </w:rPr>
        <w:t>О государственной регистрации недвижимости» установлен порядок прекращения осуществления государственного кадастрового учета и государственной регистрации прав.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 осуществления государственного кадастрового учета и (или) государственной регистрации прав либо отказа в государственном кадастровом учете и (или) государственной регистрации прав рассмотрение представленных заявления и (или) документов может быть прекращено на основании совместного заявления лиц, представивших эти документы.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случае, если заявление о государственной регистрации прав представлено нотариусом.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Орган регистрации прав обязан уведомить заявителей (заявителя) о прекращении осуществления государственного кадастрового учета и (или) государственной регистрации прав с указанием даты прекращения осуществления государственного кадастрового учета и (или) государственной регистрации прав.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Прекращение государственной регистрации прав, связанных с отчуждением или обременением жилого помещения, если жилое помещение приобретается с использованием кредитных средств банка или иной кредитной организации либо средств целевого займа, предоставленного другим юридическим лицом, допускается только на основании совместного заявления сторон сделки с приложением документа, выражающего согласие на это кредитора (займодавца).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случае, если государственный кадастровый учет и (или) государственная регистрация прав осуществляются по требованию судебного пристава-исполнителя на основании судебного акта, государственный кадастровый учет и (или) государственная регистрация прав прекращаются только на основании судебного акта. Если государственный кадастровый учет и (или) государственная регистрация прав осуществляются по требованию судебного пристава-исполнителя в иных случаях, предусмотренных Федеральным законом от 2 октября 2007 года № 229-ФЗ «Об исполнительном производстве», государственный кадастровый учет и (или) государственная регистрация прав прекращаются только по требованию судебного пристава-исполнителя.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Порядок и способы направления органом регистрации прав уведомления о прекращении осуществления государственного кадастрового учета и (или) государственной регистрации прав и представленных для осуществления этих процедур документов устанавливаются органом нормативно-правового регулирования.</w:t>
      </w:r>
    </w:p>
    <w:p>
      <w:pPr>
        <w:pStyle w:val="Normal"/>
        <w:suppressAutoHyphens w:val="false"/>
        <w:spacing w:lineRule="auto" w:line="240" w:before="0" w:after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Государственный кадастровый учет и (или) государственная регистрация прав прекращаются не позднее рабочего дня, следующего за днем представления предусмотренных настоящей статьей заявления или судебного акта либо требования судебного пристава-исполнителя.</w:t>
      </w:r>
    </w:p>
    <w:p>
      <w:pPr>
        <w:pStyle w:val="Normal"/>
        <w:suppressAutoHyphens w:val="false"/>
        <w:spacing w:lineRule="auto" w:line="24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Если при подаче заявления об осуществлении государственного кадастрового учета и (или) государственной регистрации прав была уплачена государственная пошлина, то при подаче заявления о прекращении,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возвращается половина уплаченной суммы  (ст. 333.40 НК РФ).</w:t>
      </w:r>
    </w:p>
    <w:p>
      <w:pPr>
        <w:pStyle w:val="Normal"/>
        <w:suppressAutoHyphens w:val="false"/>
        <w:spacing w:lineRule="auto" w:line="240"/>
        <w:ind w:firstLine="73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/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LibreOffice/7.5.6.2$Linux_X86_64 LibreOffice_project/50$Build-2</Application>
  <AppVersion>15.0000</AppVersion>
  <Pages>2</Pages>
  <Words>402</Words>
  <Characters>3167</Characters>
  <CharactersWithSpaces>3688</CharactersWithSpaces>
  <Paragraphs>22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2024-07-15T06:11:00Z</dcterms:created>
  <dc:creator>Пушкарская Диана Дмитриевна</dc:creator>
  <dc:description/>
  <dc:language>ru-RU</dc:language>
  <cp:lastModifiedBy/>
  <cp:lastPrinted>2021-04-20T16:11:00Z</cp:lastPrinted>
  <dcterms:modified xsi:type="dcterms:W3CDTF">2024-08-07T17:07:19Z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