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tabs>
          <w:tab w:val="clear" w:pos="708"/>
          <w:tab w:val="left" w:pos="3119" w:leader="none"/>
        </w:tabs>
        <w:rPr/>
      </w:pPr>
      <w:r>
        <w:drawing>
          <wp:anchor behindDoc="0" distT="0" distB="0" distL="0" distR="114300" simplePos="0" locked="0" layoutInCell="0" allowOverlap="1" relativeHeight="3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990725" cy="704850"/>
            <wp:effectExtent l="0" t="0" r="0" b="0"/>
            <wp:wrapSquare wrapText="bothSides"/>
            <wp:docPr id="1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                                                                                                                       </w:t>
      </w:r>
    </w:p>
    <w:p>
      <w:pPr>
        <w:pStyle w:val="NoSpacing"/>
        <w:rPr/>
      </w:pPr>
      <w:r>
        <w:rPr/>
        <w:br w:type="textWrapping" w:clear="all"/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>ПРЕСС-РЕЛИЗ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ind w:firstLine="709"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>Управление Росреестра по Владимирской области информирует</w:t>
      </w:r>
    </w:p>
    <w:p>
      <w:pPr>
        <w:pStyle w:val="BodyTextIndent3"/>
        <w:spacing w:before="0" w:after="0"/>
        <w:ind w:left="283" w:firstLine="709"/>
        <w:contextualSpacing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 xml:space="preserve">о порядке возврата госпошлины за регистрацию </w:t>
      </w:r>
    </w:p>
    <w:p>
      <w:pPr>
        <w:pStyle w:val="BodyTextIndent3"/>
        <w:spacing w:before="0" w:after="0"/>
        <w:ind w:left="283" w:firstLine="709"/>
        <w:contextualSpacing/>
        <w:jc w:val="center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>права собственности</w:t>
      </w:r>
    </w:p>
    <w:p>
      <w:pPr>
        <w:pStyle w:val="NormalWeb"/>
        <w:spacing w:lineRule="auto" w:line="240" w:before="0" w:after="0"/>
        <w:rPr>
          <w:rFonts w:ascii="Arial" w:hAnsi="Arial"/>
          <w:color w:val="292C2F"/>
          <w:sz w:val="26"/>
          <w:szCs w:val="26"/>
        </w:rPr>
      </w:pPr>
      <w:r>
        <w:rPr>
          <w:rFonts w:ascii="Arial" w:hAnsi="Arial"/>
          <w:color w:val="292C2F"/>
          <w:sz w:val="26"/>
          <w:szCs w:val="26"/>
        </w:rPr>
      </w:r>
    </w:p>
    <w:p>
      <w:pPr>
        <w:pStyle w:val="NormalWeb"/>
        <w:spacing w:lineRule="auto" w:line="240" w:before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Основания и порядок возврата государственной пошлины установлены статьей 333.40 Налогового кодекса Российской Федерации, Федеральным законом от 13.07.2015 № 218-ФЗ «О государственной регистрации недвижимости», а также приказом Министерства финансов Российской Федерации от 27.09.2021 № 137н «Об утверждении Общих требований к возврату излишне уплаченных (взысканных) платежей».</w:t>
      </w:r>
    </w:p>
    <w:p>
      <w:pPr>
        <w:pStyle w:val="NormalWeb"/>
        <w:spacing w:lineRule="auto" w:line="240" w:before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Уплаченная государственная пошлина подлежит возврату получателю государственной услуги </w:t>
      </w:r>
      <w:r>
        <w:rPr>
          <w:sz w:val="26"/>
          <w:szCs w:val="26"/>
        </w:rPr>
        <w:t>в следующих случаях</w:t>
      </w:r>
      <w:r>
        <w:rPr>
          <w:sz w:val="26"/>
          <w:szCs w:val="26"/>
        </w:rPr>
        <w:t>:</w:t>
      </w:r>
    </w:p>
    <w:p>
      <w:pPr>
        <w:pStyle w:val="NormalWeb"/>
        <w:spacing w:lineRule="auto" w:line="240" w:before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случае уплаты в большем размере, чем это предусмотрено законодательством, возврату подлежат средства в размере, превышающем установленный; </w:t>
      </w:r>
    </w:p>
    <w:p>
      <w:pPr>
        <w:pStyle w:val="NormalWeb"/>
        <w:spacing w:lineRule="auto" w:line="240" w:before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 случае отказа лиц, уплативших государственную пошлину, от совершения юридически значимого действия до обращения в уполномоченный орган, совершающий данное юридически значимое действие, подлежит возврату в полном объеме;</w:t>
      </w:r>
    </w:p>
    <w:p>
      <w:pPr>
        <w:pStyle w:val="NormalWeb"/>
        <w:spacing w:lineRule="auto" w:line="240" w:before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при прекращении государственной регистрации прав на основании соответствующих заявлений сторон договора возвращается половина суммы, уплаченной в виде государственной пошлины за государственную регистрацию прав.</w:t>
      </w:r>
    </w:p>
    <w:p>
      <w:pPr>
        <w:pStyle w:val="NormalWeb"/>
        <w:spacing w:lineRule="auto" w:line="240" w:before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Возврат излишне уплаченной государственной пошлины осуществляется на основании заявления получателя государственной услуги или его представителя, действующего на основании нотариально удостоверенной доверенности с указанием полномочий (с правом получения денежных средств). В случае возврата государственной пошлины, уплаченной за несовершеннолетнего ребенка (до 14 лет), заявление подается одним из родителей с приложением копии свидетельства о рождении. Юридическими лицами заявление о возврате оформляется на фирменном бланке. </w:t>
      </w:r>
    </w:p>
    <w:p>
      <w:pPr>
        <w:pStyle w:val="NormalWeb"/>
        <w:spacing w:lineRule="auto" w:line="240" w:before="0" w:after="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Заявление о возврате излишне уплаченных (взысканных) денежных средств представляется (направляется):</w:t>
      </w:r>
    </w:p>
    <w:p>
      <w:pPr>
        <w:pStyle w:val="NormalWeb"/>
        <w:spacing w:lineRule="auto" w:line="240" w:before="0" w:after="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- в виде бумажного документа при личном обращении или путем почтового отправления в орган, осуществляющий государственную регистрацию прав, в который подавался запрос;</w:t>
      </w:r>
    </w:p>
    <w:p>
      <w:pPr>
        <w:pStyle w:val="NormalWeb"/>
        <w:spacing w:lineRule="auto" w:line="240" w:before="0" w:after="0"/>
        <w:ind w:firstLine="737"/>
        <w:jc w:val="both"/>
        <w:rPr/>
      </w:pPr>
      <w:r>
        <w:rPr>
          <w:sz w:val="26"/>
          <w:szCs w:val="26"/>
        </w:rPr>
        <w:t>- посредством сервиса «</w:t>
      </w:r>
      <w:hyperlink r:id="rId3">
        <w:r>
          <w:rPr>
            <w:rStyle w:val="-"/>
            <w:rFonts w:eastAsia="Arial Unicode MS"/>
            <w:color w:val="auto"/>
            <w:sz w:val="26"/>
            <w:szCs w:val="26"/>
            <w:u w:val="none"/>
          </w:rPr>
          <w:t>Личный кабинет</w:t>
        </w:r>
      </w:hyperlink>
      <w:r>
        <w:rPr>
          <w:sz w:val="26"/>
          <w:szCs w:val="26"/>
        </w:rPr>
        <w:t>» на официальном сайте Росреестра (подписывается усиленной квалифицированной электронной подписью заявителя).</w:t>
      </w:r>
    </w:p>
    <w:p>
      <w:pPr>
        <w:pStyle w:val="NormalWeb"/>
        <w:spacing w:lineRule="auto" w:line="240" w:before="0" w:after="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В заявлении должно быть указано:</w:t>
      </w:r>
    </w:p>
    <w:p>
      <w:pPr>
        <w:pStyle w:val="NormalWeb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1) </w:t>
      </w:r>
      <w:bookmarkStart w:id="0" w:name="_GoBack"/>
      <w:r>
        <w:rPr>
          <w:i/>
          <w:sz w:val="26"/>
          <w:szCs w:val="26"/>
        </w:rPr>
        <w:t>для физических лиц:</w:t>
      </w:r>
      <w:bookmarkEnd w:id="0"/>
    </w:p>
    <w:p>
      <w:pPr>
        <w:pStyle w:val="NormalWeb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6"/>
          <w:szCs w:val="26"/>
        </w:rPr>
      </w:pPr>
      <w:r>
        <w:rPr>
          <w:sz w:val="26"/>
          <w:szCs w:val="26"/>
        </w:rPr>
        <w:t>- ФИО заявителя (представителя заявителя);</w:t>
      </w:r>
    </w:p>
    <w:p>
      <w:pPr>
        <w:pStyle w:val="NormalWeb"/>
        <w:shd w:val="clear" w:color="auto" w:fill="FFFFFF"/>
        <w:spacing w:lineRule="auto" w:line="240" w:before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реквизиты документа, удостоверяющие личность заявителя (представителя заявителя);</w:t>
      </w:r>
    </w:p>
    <w:p>
      <w:pPr>
        <w:pStyle w:val="NormalWeb"/>
        <w:shd w:val="clear" w:color="auto" w:fill="FFFFFF"/>
        <w:spacing w:lineRule="auto" w:line="240" w:before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реквизиты документа, подтверждающего право представителя заявителя действовать от имени заявителя (в случае подачи заявления на возврат представителем заявителя);</w:t>
      </w:r>
    </w:p>
    <w:p>
      <w:pPr>
        <w:pStyle w:val="NormalWeb"/>
        <w:shd w:val="clear" w:color="auto" w:fill="FFFFFF"/>
        <w:spacing w:lineRule="auto" w:line="240" w:before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УИН (при наличии);</w:t>
      </w:r>
    </w:p>
    <w:p>
      <w:pPr>
        <w:pStyle w:val="NormalWeb"/>
        <w:shd w:val="clear" w:color="auto" w:fill="FFFFFF"/>
        <w:spacing w:lineRule="auto" w:line="240" w:before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сумма возврата;</w:t>
      </w:r>
    </w:p>
    <w:p>
      <w:pPr>
        <w:pStyle w:val="NormalWeb"/>
        <w:shd w:val="clear" w:color="auto" w:fill="FFFFFF"/>
        <w:spacing w:lineRule="auto" w:line="240" w:before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причина возврата платежа;</w:t>
      </w:r>
    </w:p>
    <w:p>
      <w:pPr>
        <w:pStyle w:val="NormalWeb"/>
        <w:shd w:val="clear" w:color="auto" w:fill="FFFFFF"/>
        <w:spacing w:lineRule="auto" w:line="240" w:before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реквизиты банковского счета, открытого в кредитной организации в валюте Российской Федерации;</w:t>
      </w:r>
    </w:p>
    <w:p>
      <w:pPr>
        <w:pStyle w:val="NormalWeb"/>
        <w:shd w:val="clear" w:color="auto" w:fill="FFFFFF"/>
        <w:spacing w:lineRule="auto" w:line="240" w:before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почтовый адрес (адрес электронной почты);</w:t>
      </w:r>
    </w:p>
    <w:p>
      <w:pPr>
        <w:pStyle w:val="NormalWeb"/>
        <w:shd w:val="clear" w:color="auto" w:fill="FFFFFF"/>
        <w:spacing w:lineRule="auto" w:line="240" w:before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номер контактного телефона (при наличии).</w:t>
      </w:r>
    </w:p>
    <w:p>
      <w:pPr>
        <w:pStyle w:val="NormalWeb"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i w:val="false"/>
          <w:iCs w:val="false"/>
          <w:sz w:val="26"/>
          <w:szCs w:val="26"/>
          <w:lang w:eastAsia="ru-RU"/>
        </w:rPr>
        <w:t xml:space="preserve">2) </w:t>
      </w:r>
      <w:r>
        <w:rPr>
          <w:i/>
          <w:sz w:val="26"/>
          <w:szCs w:val="26"/>
        </w:rPr>
        <w:t xml:space="preserve">для индивидуальных предпринимателей, нотариусов, занимающихся частной практикой, адвокатов, учредивших адвокатские кабинеты, глав крестьянских (фермерских) хозяйств): </w:t>
      </w:r>
      <w:r>
        <w:rPr>
          <w:sz w:val="26"/>
          <w:szCs w:val="26"/>
        </w:rPr>
        <w:t>дополнительно к вышеперечисленным данным необходимо указать идентификационный номер налогоплательщика.</w:t>
      </w:r>
    </w:p>
    <w:p>
      <w:pPr>
        <w:pStyle w:val="NormalWeb"/>
        <w:shd w:val="clear" w:color="auto" w:fill="FFFFFF"/>
        <w:spacing w:lineRule="auto" w:line="240" w:before="0" w:after="0"/>
        <w:jc w:val="both"/>
        <w:rPr>
          <w:sz w:val="26"/>
          <w:szCs w:val="26"/>
        </w:rPr>
      </w:pPr>
      <w:r>
        <w:rPr>
          <w:i/>
          <w:sz w:val="26"/>
          <w:szCs w:val="26"/>
        </w:rPr>
        <w:t>3) для юридических лиц:</w:t>
      </w:r>
    </w:p>
    <w:p>
      <w:pPr>
        <w:pStyle w:val="NormalWeb"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6"/>
          <w:szCs w:val="26"/>
        </w:rPr>
      </w:pPr>
      <w:r>
        <w:rPr>
          <w:sz w:val="26"/>
          <w:szCs w:val="26"/>
        </w:rPr>
        <w:t>- полное, сокращенное (при наличии), фирменное (при наличии) наименование юридического лица;</w:t>
      </w:r>
    </w:p>
    <w:p>
      <w:pPr>
        <w:pStyle w:val="NormalWeb"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firstLine="680"/>
        <w:jc w:val="both"/>
        <w:rPr>
          <w:sz w:val="26"/>
          <w:szCs w:val="26"/>
        </w:rPr>
      </w:pPr>
      <w:r>
        <w:rPr>
          <w:sz w:val="26"/>
          <w:szCs w:val="26"/>
        </w:rPr>
        <w:t>- идентификационный номер налогоплательщика и код причины постановки на учет;</w:t>
      </w:r>
    </w:p>
    <w:p>
      <w:pPr>
        <w:pStyle w:val="NormalWeb"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sz w:val="26"/>
          <w:szCs w:val="26"/>
        </w:rPr>
        <w:t>- ФИО представителя заявителя;</w:t>
      </w:r>
    </w:p>
    <w:p>
      <w:pPr>
        <w:pStyle w:val="NormalWeb"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sz w:val="26"/>
          <w:szCs w:val="26"/>
        </w:rPr>
        <w:t>- реквизиты документа, удостоверяющие личность представителя заявителя;</w:t>
      </w:r>
    </w:p>
    <w:p>
      <w:pPr>
        <w:pStyle w:val="NormalWeb"/>
        <w:widowControl/>
        <w:shd w:val="clear" w:color="auto" w:fill="FFFFFF"/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sz w:val="26"/>
          <w:szCs w:val="26"/>
        </w:rPr>
        <w:t>- реквизиты документа, подтверждающего право представителя заявителя действовать от имени заявителя;</w:t>
      </w:r>
    </w:p>
    <w:p>
      <w:pPr>
        <w:pStyle w:val="NormalWeb"/>
        <w:widowControl/>
        <w:shd w:val="clear" w:color="auto" w:fill="FFFFFF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sz w:val="26"/>
          <w:szCs w:val="26"/>
        </w:rPr>
        <w:t>- УИН (при наличии);</w:t>
      </w:r>
    </w:p>
    <w:p>
      <w:pPr>
        <w:pStyle w:val="NormalWeb"/>
        <w:widowControl/>
        <w:shd w:val="clear" w:color="auto" w:fill="FFFFFF"/>
        <w:tabs>
          <w:tab w:val="clear" w:pos="708"/>
          <w:tab w:val="left" w:pos="0" w:leader="none"/>
        </w:tabs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sz w:val="26"/>
          <w:szCs w:val="26"/>
        </w:rPr>
        <w:t>- сумма возврата;</w:t>
      </w:r>
    </w:p>
    <w:p>
      <w:pPr>
        <w:pStyle w:val="NormalWeb"/>
        <w:shd w:val="clear" w:color="auto" w:fill="FFFFFF"/>
        <w:spacing w:lineRule="auto" w:line="240" w:before="0" w:after="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- причина возврата платежа;</w:t>
      </w:r>
    </w:p>
    <w:p>
      <w:pPr>
        <w:pStyle w:val="NormalWeb"/>
        <w:shd w:val="clear" w:color="auto" w:fill="FFFFFF"/>
        <w:spacing w:lineRule="auto" w:line="240" w:before="0" w:after="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- реквизиты банковского счета, открытого в кредитной организации в валюте Российской Федерации;</w:t>
      </w:r>
    </w:p>
    <w:p>
      <w:pPr>
        <w:pStyle w:val="NormalWeb"/>
        <w:shd w:val="clear" w:color="auto" w:fill="FFFFFF"/>
        <w:spacing w:before="0" w:after="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- почтовый адрес (адрес электронной почты);</w:t>
      </w:r>
    </w:p>
    <w:p>
      <w:pPr>
        <w:pStyle w:val="NormalWeb"/>
        <w:shd w:val="clear" w:color="auto" w:fill="FFFFFF"/>
        <w:spacing w:before="0" w:after="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- номер контактного телефона (при наличии).</w:t>
      </w:r>
    </w:p>
    <w:p>
      <w:pPr>
        <w:pStyle w:val="NormalWeb"/>
        <w:spacing w:before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 заявлению о возврате излишне уплаченной (взысканной) суммы государственной пошлины прилагаются подлинные платежные документы (в случае, если государственная пошлина уплачена в наличной форме) или копии платежных документов (в случае, если государственная пошлина уплачена в безналичной форме).</w:t>
      </w:r>
    </w:p>
    <w:p>
      <w:pPr>
        <w:pStyle w:val="NormalWeb"/>
        <w:spacing w:before="0"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руководителя Управления Александр Киреев подчеркивает: «При отказе государственным регистратором прав в государственной регистрации права (после истечения срока приостановления указанной процедуры) уплаченная государственная пошлина за государственную регистрацию прав, не возвращается».</w:t>
      </w:r>
    </w:p>
    <w:p>
      <w:pPr>
        <w:pStyle w:val="NormalWeb"/>
        <w:spacing w:before="0" w:after="0"/>
        <w:ind w:firstLine="708"/>
        <w:jc w:val="both"/>
        <w:rPr>
          <w:sz w:val="26"/>
          <w:szCs w:val="26"/>
        </w:rPr>
      </w:pPr>
      <w:r>
        <w:rPr>
          <w:rFonts w:eastAsia="Arial Unicode MS"/>
          <w:kern w:val="2"/>
          <w:sz w:val="26"/>
          <w:szCs w:val="26"/>
          <w:lang w:eastAsia="hi-IN" w:bidi="hi-IN"/>
        </w:rPr>
        <w:t>Заявление о возврате излишне уплаченной (взысканной) суммы государственной пошлины может быть подано в течение трех лет со дня уплаты указанной суммы.</w:t>
      </w:r>
      <w:bookmarkStart w:id="1" w:name="_GoBack_Копия_1"/>
      <w:bookmarkEnd w:id="1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Arial Unicode MS" w:cs="Mangal"/>
          <w:kern w:val="2"/>
          <w:sz w:val="24"/>
          <w:szCs w:val="24"/>
          <w:lang w:eastAsia="hi-IN" w:bidi="hi-IN"/>
        </w:rPr>
      </w:pPr>
      <w:r>
        <w:rPr>
          <w:rFonts w:eastAsia="Arial Unicode MS" w:cs="Mangal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BodyTextIndent3"/>
        <w:spacing w:before="0" w:after="0"/>
        <w:ind w:left="0" w:firstLine="709"/>
        <w:contextualSpacing/>
        <w:jc w:val="both"/>
        <w:rPr>
          <w:rFonts w:eastAsia="Calibri" w:cs="Times New Roman" w:eastAsiaTheme="minorHAnsi"/>
          <w:kern w:val="0"/>
          <w:sz w:val="28"/>
          <w:szCs w:val="28"/>
          <w:lang w:eastAsia="en-US" w:bidi="ar-SA"/>
        </w:rPr>
      </w:pPr>
      <w:r>
        <w:rPr>
          <w:rFonts w:eastAsia="Calibri" w:cs="Times New Roman" w:eastAsiaTheme="minorHAnsi"/>
          <w:kern w:val="0"/>
          <w:sz w:val="28"/>
          <w:szCs w:val="28"/>
          <w:lang w:eastAsia="en-US" w:bidi="ar-SA"/>
        </w:rPr>
      </w:r>
    </w:p>
    <w:p>
      <w:pPr>
        <w:pStyle w:val="BodyTextIndent3"/>
        <w:spacing w:before="0" w:after="0"/>
        <w:ind w:left="0" w:firstLine="709"/>
        <w:contextualSpacing/>
        <w:jc w:val="both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 xml:space="preserve">Материал подготовлен </w:t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>Управлением Росреестра по Владимирской области</w:t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</w:r>
    </w:p>
    <w:p>
      <w:pPr>
        <w:pStyle w:val="Normal"/>
        <w:ind w:firstLine="709"/>
        <w:jc w:val="both"/>
        <w:rPr>
          <w:rFonts w:ascii="Segoe UI" w:hAnsi="Segoe UI" w:cs="Segoe UI"/>
          <w:b/>
          <w:color w:val="0070C0"/>
          <w:lang w:eastAsia="sk-SK"/>
        </w:rPr>
      </w:pPr>
      <w:r>
        <w:rPr>
          <w:rFonts w:cs="Segoe UI" w:ascii="Segoe UI" w:hAnsi="Segoe UI"/>
          <w:b/>
          <w:color w:val="0070C0"/>
          <w:lang w:eastAsia="sk-SK"/>
        </w:rPr>
        <mc:AlternateContent>
          <mc:Choice Requires="wps">
            <w:drawing>
              <wp:anchor behindDoc="0" distT="8890" distB="8255" distL="8255" distR="8890" simplePos="0" locked="0" layoutInCell="1" allowOverlap="1" relativeHeight="2" wp14:anchorId="0ACE44A2">
                <wp:simplePos x="0" y="0"/>
                <wp:positionH relativeFrom="column">
                  <wp:posOffset>-75565</wp:posOffset>
                </wp:positionH>
                <wp:positionV relativeFrom="paragraph">
                  <wp:posOffset>48895</wp:posOffset>
                </wp:positionV>
                <wp:extent cx="6000750" cy="635"/>
                <wp:effectExtent l="8255" t="8890" r="8890" b="8255"/>
                <wp:wrapNone/>
                <wp:docPr id="2" name="Прямая со стрелко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" path="m0,0l-2147483648,-2147483647e" stroked="t" o:allowincell="f" style="position:absolute;margin-left:-5.95pt;margin-top:3.85pt;width:472.45pt;height:0pt;mso-wrap-style:none;v-text-anchor:middle" wp14:anchorId="0ACE44A2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both"/>
        <w:rPr>
          <w:rFonts w:ascii="Segoe UI" w:hAnsi="Segoe UI" w:cs="Segoe UI"/>
          <w:b/>
          <w:lang w:eastAsia="sk-SK"/>
        </w:rPr>
      </w:pPr>
      <w:r>
        <w:rPr>
          <w:rFonts w:cs="Segoe UI" w:ascii="Segoe UI" w:hAnsi="Segoe UI"/>
          <w:b/>
          <w:lang w:eastAsia="sk-SK"/>
        </w:rPr>
        <w:t>Контакты для СМИ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Управление Росреестра по Владимирской области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г. Владимир, ул. Офицерская, д. 33-а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Отдел организации, мониторинга и контроля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(4922) 45-08-29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(4922) 45-08-26</w:t>
      </w:r>
    </w:p>
    <w:p>
      <w:pPr>
        <w:pStyle w:val="NormalWeb"/>
        <w:spacing w:lineRule="auto" w:line="276" w:before="0" w:after="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680" w:right="850" w:gutter="0" w:header="0" w:top="1035" w:footer="0" w:bottom="149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235ee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df02f6"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basedOn w:val="DefaultParagraphFont"/>
    <w:uiPriority w:val="9"/>
    <w:qFormat/>
    <w:rsid w:val="00235ee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-">
    <w:name w:val="Hyperlink"/>
    <w:basedOn w:val="DefaultParagraphFont"/>
    <w:uiPriority w:val="99"/>
    <w:unhideWhenUsed/>
    <w:rsid w:val="00495c8f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3aab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f93aab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f93aab"/>
    <w:rPr>
      <w:b/>
      <w:bCs/>
      <w:sz w:val="20"/>
      <w:szCs w:val="20"/>
    </w:rPr>
  </w:style>
  <w:style w:type="character" w:styleId="3" w:customStyle="1">
    <w:name w:val="Основной текст с отступом 3 Знак"/>
    <w:basedOn w:val="DefaultParagraphFont"/>
    <w:link w:val="BodyTextIndent3"/>
    <w:uiPriority w:val="99"/>
    <w:qFormat/>
    <w:rsid w:val="00430e6d"/>
    <w:rPr>
      <w:rFonts w:ascii="Times New Roman" w:hAnsi="Times New Roman" w:eastAsia="Arial Unicode MS" w:cs="Mangal"/>
      <w:kern w:val="2"/>
      <w:sz w:val="16"/>
      <w:szCs w:val="14"/>
      <w:lang w:eastAsia="hi-IN" w:bidi="hi-IN"/>
    </w:rPr>
  </w:style>
  <w:style w:type="character" w:styleId="ConsPlusNormal" w:customStyle="1">
    <w:name w:val="ConsPlusNormal Знак"/>
    <w:link w:val="ConsPlusNormal1"/>
    <w:qFormat/>
    <w:locked/>
    <w:rsid w:val="00f96508"/>
    <w:rPr>
      <w:rFonts w:ascii="Arial" w:hAnsi="Arial" w:cs="Arial"/>
      <w:sz w:val="20"/>
      <w:szCs w:val="20"/>
    </w:rPr>
  </w:style>
  <w:style w:type="character" w:styleId="Style16">
    <w:name w:val="FollowedHyperlink"/>
    <w:basedOn w:val="DefaultParagraphFont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2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df02f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35ee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cb3098"/>
    <w:pPr>
      <w:spacing w:lineRule="auto" w:line="252"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f93aa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f93aab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430e6d"/>
    <w:pPr>
      <w:spacing w:lineRule="auto" w:line="240" w:before="0" w:after="9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qFormat/>
    <w:rsid w:val="00430e6d"/>
    <w:pPr>
      <w:widowControl w:val="false"/>
      <w:spacing w:lineRule="auto" w:line="240" w:before="0" w:after="120"/>
      <w:ind w:left="283" w:hanging="0"/>
    </w:pPr>
    <w:rPr>
      <w:rFonts w:ascii="Times New Roman" w:hAnsi="Times New Roman" w:eastAsia="Arial Unicode MS" w:cs="Mangal"/>
      <w:kern w:val="2"/>
      <w:sz w:val="16"/>
      <w:szCs w:val="14"/>
      <w:lang w:eastAsia="hi-IN" w:bidi="hi-IN"/>
    </w:rPr>
  </w:style>
  <w:style w:type="paragraph" w:styleId="ConsPlusNormal1" w:customStyle="1">
    <w:name w:val="ConsPlusNormal"/>
    <w:link w:val="ConsPlusNormal"/>
    <w:qFormat/>
    <w:rsid w:val="00f96508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esia.gosuslugi.ru/login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LibreOffice/7.5.6.2$Linux_X86_64 LibreOffice_project/50$Build-2</Application>
  <AppVersion>15.0000</AppVersion>
  <Pages>3</Pages>
  <Words>548</Words>
  <Characters>4111</Characters>
  <CharactersWithSpaces>4751</CharactersWithSpaces>
  <Paragraphs>50</Paragraphs>
  <Company>Управление Росреестра по Владимирской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2024-04-18T12:23:00Z</dcterms:created>
  <dc:creator>Пушкарская Диана Дмитриевна</dc:creator>
  <dc:description/>
  <dc:language>ru-RU</dc:language>
  <cp:lastModifiedBy/>
  <cp:lastPrinted>2024-04-18T06:38:00Z</cp:lastPrinted>
  <dcterms:modified xsi:type="dcterms:W3CDTF">2024-09-06T14:58:48Z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