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word/_rels/document.xml.rels" ContentType="application/vnd.openxmlformats-package.relationships+xml"/>
  <Override PartName="/word/fontTable.xml" ContentType="application/vnd.openxmlformats-officedocument.wordprocessingml.fontTable+xml"/>
  <Override PartName="/word/media/image1.png" ContentType="image/png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NoSpacing"/>
        <w:tabs>
          <w:tab w:val="clear" w:pos="708"/>
          <w:tab w:val="left" w:pos="3119" w:leader="none"/>
        </w:tabs>
        <w:rPr/>
      </w:pPr>
      <w:r>
        <w:drawing>
          <wp:anchor behindDoc="0" distT="0" distB="0" distL="0" distR="114300" simplePos="0" locked="0" layoutInCell="0" allowOverlap="1" relativeHeight="3">
            <wp:simplePos x="0" y="0"/>
            <wp:positionH relativeFrom="column">
              <wp:align>left</wp:align>
            </wp:positionH>
            <wp:positionV relativeFrom="paragraph">
              <wp:posOffset>635</wp:posOffset>
            </wp:positionV>
            <wp:extent cx="1990725" cy="704850"/>
            <wp:effectExtent l="0" t="0" r="0" b="0"/>
            <wp:wrapSquare wrapText="bothSides"/>
            <wp:docPr id="1" name="Рисунок 3" descr="C:\Users\E.Kudryashova\AppData\Local\Microsoft\Windows\INetCache\Content.Word\Лого основное 2 Владимирская облас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3" descr="C:\Users\E.Kudryashova\AppData\Local\Microsoft\Windows\INetCache\Content.Word\Лого основное 2 Владимирская область.png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90725" cy="70485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>
        <w:rPr/>
        <w:t xml:space="preserve">                                                                                                                                        </w:t>
      </w:r>
    </w:p>
    <w:p>
      <w:pPr>
        <w:pStyle w:val="NoSpacing"/>
        <w:rPr/>
      </w:pPr>
      <w:r>
        <w:rPr/>
        <w:br w:type="textWrapping" w:clear="all"/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Spacing"/>
        <w:jc w:val="right"/>
        <w:rPr>
          <w:rFonts w:ascii="Arial" w:hAnsi="Arial" w:eastAsia="Arial Unicode MS" w:cs="Arial"/>
          <w:b/>
          <w:sz w:val="26"/>
          <w:szCs w:val="26"/>
        </w:rPr>
      </w:pPr>
      <w:r>
        <w:rPr>
          <w:rFonts w:eastAsia="Arial Unicode MS" w:cs="Arial" w:ascii="Arial" w:hAnsi="Arial"/>
          <w:b/>
          <w:sz w:val="26"/>
          <w:szCs w:val="26"/>
        </w:rPr>
        <w:t>ПРЕСС-РЕЛИЗ</w:t>
      </w:r>
    </w:p>
    <w:p>
      <w:pPr>
        <w:pStyle w:val="Normal"/>
        <w:rPr/>
      </w:pPr>
      <w:r>
        <w:rPr/>
      </w:r>
    </w:p>
    <w:p>
      <w:pPr>
        <w:pStyle w:val="Normal"/>
        <w:spacing w:lineRule="auto" w:line="240" w:before="0" w:after="0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eastAsia="Arial Unicode MS" w:cs="Arial" w:ascii="Arial" w:hAnsi="Arial"/>
          <w:b/>
          <w:sz w:val="26"/>
          <w:szCs w:val="26"/>
        </w:rPr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bCs/>
          <w:sz w:val="26"/>
          <w:szCs w:val="26"/>
          <w14:ligatures w14:val="none"/>
        </w:rPr>
      </w:pPr>
      <w:r>
        <w:rPr>
          <w:rFonts w:eastAsia="Arial Unicode MS" w:cs="Arial" w:ascii="Arial" w:hAnsi="Arial"/>
          <w:b/>
          <w:bCs/>
          <w:sz w:val="26"/>
          <w:szCs w:val="26"/>
        </w:rPr>
        <w:tab/>
        <w:t>Управление Росреестра по Владимирской области информирует</w:t>
      </w:r>
    </w:p>
    <w:p>
      <w:pPr>
        <w:pStyle w:val="Normal"/>
        <w:spacing w:lineRule="auto" w:line="240" w:before="0" w:after="0"/>
        <w:jc w:val="center"/>
        <w:rPr>
          <w:rFonts w:ascii="Arial" w:hAnsi="Arial" w:eastAsia="Arial Unicode MS" w:cs="Arial"/>
          <w:b/>
          <w:bCs/>
          <w:sz w:val="26"/>
          <w:szCs w:val="26"/>
          <w14:ligatures w14:val="none"/>
        </w:rPr>
      </w:pPr>
      <w:r>
        <w:rPr>
          <w:rFonts w:eastAsia="Arial Unicode MS" w:cs="Arial" w:ascii="Arial" w:hAnsi="Arial"/>
          <w:b/>
          <w:bCs/>
          <w:sz w:val="26"/>
          <w:szCs w:val="26"/>
        </w:rPr>
        <w:t xml:space="preserve">об </w:t>
      </w:r>
      <w:r>
        <w:rPr>
          <w:rFonts w:eastAsia="Arial Unicode MS" w:cs="Arial" w:ascii="Arial" w:hAnsi="Arial"/>
          <w:b/>
          <w:sz w:val="26"/>
          <w:szCs w:val="26"/>
        </w:rPr>
        <w:t>изменении вида разрешенного использования земельного участка</w:t>
      </w:r>
    </w:p>
    <w:p>
      <w:pPr>
        <w:pStyle w:val="Paragraphmrcssattr"/>
        <w:shd w:val="clear" w:color="auto" w:fill="FFFFFF"/>
        <w:spacing w:beforeAutospacing="0" w:before="0" w:afterAutospacing="0" w:after="0"/>
        <w:ind w:left="0" w:right="0" w:firstLine="540"/>
        <w:jc w:val="center"/>
        <w:rPr>
          <w:rFonts w:ascii="Arial" w:hAnsi="Arial" w:cs="Arial"/>
          <w:color w:val="000000"/>
          <w:sz w:val="20"/>
          <w:szCs w:val="20"/>
        </w:rPr>
      </w:pPr>
      <w:r>
        <w:rPr>
          <w:rFonts w:cs="Arial" w:ascii="Arial" w:hAnsi="Arial"/>
          <w:color w:val="000000"/>
          <w:sz w:val="20"/>
          <w:szCs w:val="20"/>
        </w:rPr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Нередко у владельцев земельных участков возникает вопрос, к какому виду разрешенного использования относится их участок, какую деятельность на нем можно осуществлять и как поменять основной вид разрешенного использования.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Разрешенное использование земельного участка – это дополнительная характеристика участка, сведения о которой содержатся в Едином государственном реестре недвижимости (ЕГРН), отвечающая на вопрос как именно можно использовать земельный участок.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Узнать вид разрешенного использования земельного участка можно, заказав выписку из ЕГРН об основных характеристиках.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Запросить сведения из ЕГРН возможно несколькими способами: обратиться с заявлением в офис Многофункционального центра (МФЦ), а также через Интернет с помощью специализированных электронных сервисов.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«Разрешенное использование земельного участка, сведения о котором содержатся в ЕГРН, должно соответствовать фактическому использованию этого участка», - отмечает генеральный директор «Центра технической инвентаризации» Владимирской области Илья Сурков.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Изменение вида разрешенного использования земельного участка осуществляется, в частности, в соответствии с правилами землепользования и застройки (ПЗЗ) конкретного муниципального образования (</w:t>
      </w:r>
      <w:hyperlink r:id="rId3" w:tgtFrame="consultantplus://offline/ref=E6347BDF271C492C1094DA10A7B5D45264F733C140399E661B86A12F137F8975803D2D00A1E15E1139825814E5599CB0C2C7765219898BDAB0SEH">
        <w:r>
          <w:rPr>
            <w:rFonts w:cs="Times New Roman" w:ascii="Times New Roman" w:hAnsi="Times New Roman"/>
            <w:sz w:val="28"/>
            <w:szCs w:val="28"/>
          </w:rPr>
          <w:t>пункт 3 часть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4" w:tgtFrame="consultantplus://offline/ref=E6347BDF271C492C1094DA10A7B5D45264F733C140399E661B86A12F137F8975803D2D00A1E15E1133825814E5599CB0C2C7765219898BDAB0SEH">
        <w:r>
          <w:rPr>
            <w:rFonts w:cs="Times New Roman" w:ascii="Times New Roman" w:hAnsi="Times New Roman"/>
            <w:sz w:val="28"/>
            <w:szCs w:val="28"/>
          </w:rPr>
          <w:t>пункт 3 часть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5" w:tgtFrame="consultantplus://offline/ref=E6347BDF271C492C1094DA10A7B5D45264F733C140399E661B86A12F137F8975803D2D00A1E15E1E3E825814E5599CB0C2C7765219898BDAB0SEH">
        <w:r>
          <w:rPr>
            <w:rFonts w:cs="Times New Roman" w:ascii="Times New Roman" w:hAnsi="Times New Roman"/>
            <w:sz w:val="28"/>
            <w:szCs w:val="28"/>
          </w:rPr>
          <w:t>пункт 3 часть 3 статьи 8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6" w:tgtFrame="consultantplus://offline/ref=E6347BDF271C492C1094DA10A7B5D45264F733C140399E661B86A12F137F8975803D2D00A1E15A113D825814E5599CB0C2C7765219898BDAB0SEH">
        <w:r>
          <w:rPr>
            <w:rFonts w:cs="Times New Roman" w:ascii="Times New Roman" w:hAnsi="Times New Roman"/>
            <w:sz w:val="28"/>
            <w:szCs w:val="28"/>
          </w:rPr>
          <w:t>пункт 2 часть 3 статьи 30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Градостроительного Кодекса РФ, (ГрК РФ)).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В состав ПЗЗ входят, в том числе градостроительные регламенты. Для каждой категории земель в пределах определенной территориальной зоны градостроительные регламенты устанавливают допустимые виды разрешенного использования земельных участков и объектов капитального строительства, которые подразделяются на основные, условно разрешенные и вспомогательные. При этом вспомогательные виды разрешенного использования допустимы только в качестве дополнительных по отношению к основным и условно разрешенным видам использования и осуществляются совместно с ними (</w:t>
      </w:r>
      <w:hyperlink r:id="rId7" w:tgtFrame="consultantplus://offline/ref=E6347BDF271C492C1094DA10A7B5D45264F733C140399E661B86A12F137F8975803D2D00A1E15A1138825814E5599CB0C2C7765219898BDAB0SEH">
        <w:r>
          <w:rPr>
            <w:rFonts w:cs="Times New Roman" w:ascii="Times New Roman" w:hAnsi="Times New Roman"/>
            <w:sz w:val="28"/>
            <w:szCs w:val="28"/>
          </w:rPr>
          <w:t>часть 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8" w:tgtFrame="consultantplus://offline/ref=E6347BDF271C492C1094DA10A7B5D45264F733C140399E661B86A12F137F8975803D2D00A1E15A1E3F825814E5599CB0C2C7765219898BDAB0SEH">
        <w:r>
          <w:rPr>
            <w:rFonts w:cs="Times New Roman" w:ascii="Times New Roman" w:hAnsi="Times New Roman"/>
            <w:sz w:val="28"/>
            <w:szCs w:val="28"/>
          </w:rPr>
          <w:t>пункт 1 часть 6 статьи 30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9" w:tgtFrame="consultantplus://offline/ref=E6347BDF271C492C1094DA10A7B5D45264F733C140399E661B86A12F137F8975803D2D00A1E15B1F3D825814E5599CB0C2C7765219898BDAB0SEH">
        <w:r>
          <w:rPr>
            <w:rFonts w:cs="Times New Roman" w:ascii="Times New Roman" w:hAnsi="Times New Roman"/>
            <w:sz w:val="28"/>
            <w:szCs w:val="28"/>
          </w:rPr>
          <w:t>часть.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0" w:tgtFrame="consultantplus://offline/ref=E6347BDF271C492C1094DA10A7B5D45264F733C140399E661B86A12F137F8975803D2D00A1E158163B825814E5599CB0C2C7765219898BDAB0SEH">
        <w:r>
          <w:rPr>
            <w:rFonts w:cs="Times New Roman" w:ascii="Times New Roman" w:hAnsi="Times New Roman"/>
            <w:sz w:val="28"/>
            <w:szCs w:val="28"/>
          </w:rPr>
          <w:t>2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1" w:tgtFrame="consultantplus://offline/ref=E6347BDF271C492C1094DA10A7B5D45264F733C140399E661B86A12F137F8975803D2D00A2E5571D6FD84810AC0C96AEC4DB69520789B8S8H">
        <w:r>
          <w:rPr>
            <w:rFonts w:cs="Times New Roman" w:ascii="Times New Roman" w:hAnsi="Times New Roman"/>
            <w:sz w:val="28"/>
            <w:szCs w:val="28"/>
          </w:rPr>
          <w:t>2.1 статьи 37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ГрК РФ). 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Изменение вида разрешенного использования земельного участка возможно на один из предусмотренных регламентом видов для данной территориальной зоны. Порядок изменения будет зависеть от того, к какой из указанных категорий вид разрешенного использования относится (</w:t>
      </w:r>
      <w:hyperlink r:id="rId12" w:tgtFrame="consultantplus://offline/ref=E6347BDF271C492C1094DA10A7B5D45264F733C140399E661B86A12F137F8975803D2D00A1E158163A825814E5599CB0C2C7765219898BDAB0SEH">
        <w:r>
          <w:rPr>
            <w:rFonts w:cs="Times New Roman" w:ascii="Times New Roman" w:hAnsi="Times New Roman"/>
            <w:sz w:val="28"/>
            <w:szCs w:val="28"/>
          </w:rPr>
          <w:t>часть 3 статьи 37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ГрК РФ; </w:t>
      </w:r>
      <w:hyperlink r:id="rId13" w:tgtFrame="consultantplus://offline/ref=E6347BDF271C492C1094DA10A7B5D45264F136C64F399E661B86A12F137F8975803D2D00A1E1581E3B825814E5599CB0C2C7765219898BDAB0SEH">
        <w:r>
          <w:rPr>
            <w:rFonts w:cs="Times New Roman" w:ascii="Times New Roman" w:hAnsi="Times New Roman"/>
            <w:sz w:val="28"/>
            <w:szCs w:val="28"/>
          </w:rPr>
          <w:t>пункт 3 статьи 85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Земельного Кодекса РФ).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Также следует учесть, что изменение вида разрешенного использования сельскохозяйственных угодий, которое влечет за собой невозможность использования земельного участка для сельскохозяйственных целей, невозможно без изменения категории земель такого участка. При этом в некоторых случаях изменение целевого назначения земельного участка из земель сельскохозяйственного назначения не допускается (</w:t>
      </w:r>
      <w:hyperlink r:id="rId14" w:tgtFrame="consultantplus://offline/ref=E6347BDF271C492C1094DA10A7B5D45264F733C140399E661B86A12F137F8975803D2D00A3E35C1D6FD84810AC0C96AEC4DB69520789B8S8H">
        <w:r>
          <w:rPr>
            <w:rFonts w:cs="Times New Roman" w:ascii="Times New Roman" w:hAnsi="Times New Roman"/>
            <w:sz w:val="28"/>
            <w:szCs w:val="28"/>
          </w:rPr>
          <w:t>часть 6 статьи 36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5" w:tgtFrame="consultantplus://offline/ref=E6347BDF271C492C1094DA10A7B5D45264F733C140399E661B86A12F137F8975803D2D00A1E1581638825814E5599CB0C2C7765219898BDAB0SEH">
        <w:r>
          <w:rPr>
            <w:rFonts w:cs="Times New Roman" w:ascii="Times New Roman" w:hAnsi="Times New Roman"/>
            <w:sz w:val="28"/>
            <w:szCs w:val="28"/>
          </w:rPr>
          <w:t>часть 5 статьи 37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ГрК РФ; </w:t>
      </w:r>
      <w:hyperlink r:id="rId16" w:tgtFrame="consultantplus://offline/ref=E6347BDF271C492C1094DA10A7B5D45264F03DC74F3E9E661B86A12F137F8975803D2D00A1E15E173F825814E5599CB0C2C7765219898BDAB0SEH">
        <w:r>
          <w:rPr>
            <w:rFonts w:cs="Times New Roman" w:ascii="Times New Roman" w:hAnsi="Times New Roman"/>
            <w:sz w:val="28"/>
            <w:szCs w:val="28"/>
          </w:rPr>
          <w:t>подпункт 1 пункта 3 статьи 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, </w:t>
      </w:r>
      <w:hyperlink r:id="rId17" w:tgtFrame="consultantplus://offline/ref=E6347BDF271C492C1094DA10A7B5D45264F03DC74F3E9E661B86A12F137F8975803D2D00A8E055426ACD5948A10B8FB1C7C7755005B8S8H">
        <w:r>
          <w:rPr>
            <w:rFonts w:cs="Times New Roman" w:ascii="Times New Roman" w:hAnsi="Times New Roman"/>
            <w:sz w:val="28"/>
            <w:szCs w:val="28"/>
          </w:rPr>
          <w:t>пункт 6 статьи 10.1</w:t>
        </w:r>
      </w:hyperlink>
      <w:r>
        <w:rPr>
          <w:rFonts w:cs="Times New Roman" w:ascii="Times New Roman" w:hAnsi="Times New Roman"/>
          <w:sz w:val="28"/>
          <w:szCs w:val="28"/>
        </w:rPr>
        <w:t xml:space="preserve"> Федерального закона от 24.07.2002 № 101-ФЗ «Об обороте земель сельскохозяйственного назначения»).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«Обращаем внимание, что изменение вида разрешенного использования земельного участка может повлечь изменение его кадастровой стоимости и связанных с нею платежей, таких как земельный налог», - отметил начальник отдела государственного земельного надзора Денис Ломтев.</w:t>
      </w:r>
    </w:p>
    <w:p>
      <w:pPr>
        <w:pStyle w:val="Normal"/>
        <w:spacing w:lineRule="auto" w:line="240" w:before="0" w:after="0"/>
        <w:ind w:firstLine="708"/>
        <w:jc w:val="both"/>
        <w:rPr/>
      </w:pPr>
      <w:r>
        <w:rPr>
          <w:rFonts w:cs="Times New Roman" w:ascii="Times New Roman" w:hAnsi="Times New Roman"/>
          <w:sz w:val="28"/>
          <w:szCs w:val="28"/>
        </w:rPr>
        <w:t>Для изменения вида разрешенного использования нужно руководствоваться ПЗЗ. Эти правила формируются в виде документа, который содержит градостроительные регламенты и карты территориального зонирования.</w:t>
      </w:r>
    </w:p>
    <w:p>
      <w:pPr>
        <w:pStyle w:val="Normal"/>
        <w:spacing w:lineRule="auto" w:line="240" w:before="0" w:after="160"/>
        <w:ind w:firstLine="709"/>
        <w:contextualSpacing/>
        <w:jc w:val="both"/>
        <w:rPr/>
      </w:pPr>
      <w:r>
        <w:rPr>
          <w:rFonts w:cs="Times New Roman" w:ascii="Times New Roman" w:hAnsi="Times New Roman"/>
          <w:sz w:val="28"/>
          <w:szCs w:val="28"/>
        </w:rPr>
        <w:t xml:space="preserve">Если ПЗЗ приняты уполномоченным органом, собственнику земельного участка необходимо подать в любой удобный офис МФЦ заявление о выборе вида разрешенного использования участка из тех видов, которые установлены ПЗЗ. </w:t>
      </w:r>
    </w:p>
    <w:p>
      <w:pPr>
        <w:pStyle w:val="Normal"/>
        <w:spacing w:lineRule="auto" w:line="240" w:before="0" w:after="160"/>
        <w:ind w:firstLine="709"/>
        <w:contextualSpacing/>
        <w:jc w:val="both"/>
        <w:rPr/>
      </w:pPr>
      <w:r>
        <w:rPr>
          <w:rFonts w:eastAsia="Times New Roman" w:cs="Times New Roman" w:ascii="Times New Roman" w:hAnsi="Times New Roman"/>
          <w:color w:val="292C2F"/>
          <w:kern w:val="0"/>
          <w:sz w:val="28"/>
          <w:szCs w:val="28"/>
          <w:shd w:fill="auto" w:val="clear"/>
          <w:lang w:val="ru-RU" w:eastAsia="ru-RU" w:bidi="ar-SA"/>
        </w:rPr>
        <w:t xml:space="preserve">По общему правилу при наличии утвержденных ПЗЗ виды разрешенного использования земельных участков выбираются собственниками без внесения платы. </w:t>
      </w:r>
    </w:p>
    <w:p>
      <w:pPr>
        <w:pStyle w:val="Normal"/>
        <w:spacing w:lineRule="auto" w:line="240" w:before="0" w:after="0"/>
        <w:ind w:firstLine="708"/>
        <w:jc w:val="both"/>
        <w:rPr>
          <w:rFonts w:ascii="Times New Roman" w:hAnsi="Times New Roman" w:eastAsia="Times New Roman" w:cs="Times New Roman"/>
          <w:color w:val="292C2F"/>
          <w:sz w:val="28"/>
          <w:szCs w:val="28"/>
          <w:lang w:eastAsia="ru-RU"/>
        </w:rPr>
      </w:pPr>
      <w:r>
        <w:rPr>
          <w:rFonts w:eastAsia="Times New Roman" w:cs="Times New Roman" w:ascii="Times New Roman" w:hAnsi="Times New Roman"/>
          <w:color w:val="292C2F"/>
          <w:sz w:val="28"/>
          <w:szCs w:val="28"/>
          <w:lang w:eastAsia="ru-RU"/>
        </w:rPr>
      </w:r>
    </w:p>
    <w:p>
      <w:pPr>
        <w:pStyle w:val="Normal"/>
        <w:spacing w:lineRule="auto" w:line="240"/>
        <w:ind w:firstLine="708"/>
        <w:jc w:val="both"/>
        <w:rPr>
          <w:rFonts w:ascii="Times New Roman" w:hAnsi="Times New Roman" w:eastAsia="Times New Roman" w:cs="Times New Roman"/>
          <w:color w:val="292C2F"/>
          <w:sz w:val="28"/>
          <w:szCs w:val="28"/>
          <w:lang w:eastAsia="ru-RU"/>
        </w:rPr>
      </w:pPr>
      <w:r>
        <w:rPr/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 xml:space="preserve">Материал подготовлен Управлением Росреестра </w:t>
      </w:r>
    </w:p>
    <w:p>
      <w:pPr>
        <w:pStyle w:val="BodyTextIndent3"/>
        <w:spacing w:before="0" w:after="0"/>
        <w:ind w:left="0" w:firstLine="709"/>
        <w:contextualSpacing/>
        <w:jc w:val="right"/>
        <w:rPr>
          <w:i/>
          <w:i/>
          <w:color w:val="201600"/>
          <w:sz w:val="24"/>
          <w:szCs w:val="24"/>
        </w:rPr>
      </w:pPr>
      <w:r>
        <w:rPr>
          <w:i/>
          <w:color w:val="201600"/>
          <w:sz w:val="24"/>
          <w:szCs w:val="24"/>
        </w:rPr>
        <w:t>по Владимирской области</w:t>
      </w:r>
    </w:p>
    <w:p>
      <w:pPr>
        <w:pStyle w:val="Normal"/>
        <w:ind w:firstLine="709"/>
        <w:jc w:val="both"/>
        <w:rPr>
          <w:rFonts w:ascii="Segoe UI" w:hAnsi="Segoe UI" w:cs="Segoe UI"/>
          <w:b/>
          <w:color w:val="0070C0"/>
          <w:lang w:eastAsia="sk-SK"/>
        </w:rPr>
      </w:pPr>
      <w:r>
        <w:rPr>
          <w:rFonts w:cs="Segoe UI" w:ascii="Segoe UI" w:hAnsi="Segoe UI"/>
          <w:b/>
          <w:color w:val="0070C0"/>
          <w:lang w:eastAsia="sk-SK"/>
        </w:rPr>
        <mc:AlternateContent>
          <mc:Choice Requires="wps">
            <w:drawing>
              <wp:anchor behindDoc="0" distT="8890" distB="8255" distL="8255" distR="8890" simplePos="0" locked="0" layoutInCell="1" allowOverlap="1" relativeHeight="2" wp14:anchorId="0ACE44A2">
                <wp:simplePos x="0" y="0"/>
                <wp:positionH relativeFrom="column">
                  <wp:posOffset>-75565</wp:posOffset>
                </wp:positionH>
                <wp:positionV relativeFrom="paragraph">
                  <wp:posOffset>48895</wp:posOffset>
                </wp:positionV>
                <wp:extent cx="6000750" cy="635"/>
                <wp:effectExtent l="8255" t="8890" r="8890" b="8255"/>
                <wp:wrapNone/>
                <wp:docPr id="2" name="Прямая со стрелкой 2"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000840" cy="720"/>
                        </a:xfrm>
                        <a:prstGeom prst="straightConnector1">
                          <a:avLst/>
                        </a:prstGeom>
                        <a:noFill/>
                        <a:ln w="15875">
                          <a:solidFill>
                            <a:srgbClr val="0070c0"/>
                          </a:solidFill>
                          <a:round/>
                        </a:ln>
                      </wps:spPr>
                      <wps:style>
                        <a:lnRef idx="0"/>
                        <a:fillRef idx="0"/>
                        <a:effectRef idx="0"/>
                        <a:fontRef idx="minor"/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shapetype id="_x0000_t32" coordsize="21600,21600" o:spt="32" path="m,l21600,21600nfe">
                <v:stroke joinstyle="miter"/>
                <v:path gradientshapeok="t" o:connecttype="rect" textboxrect="0,0,21600,21600"/>
              </v:shapetype>
              <v:shape id="shape_0" ID="Прямая со стрелкой 2" path="m0,0l-2147483648,-2147483647e" stroked="t" o:allowincell="f" style="position:absolute;margin-left:-5.95pt;margin-top:3.85pt;width:472.45pt;height:0pt;mso-wrap-style:none;v-text-anchor:middle" wp14:anchorId="0ACE44A2" type="_x0000_t32">
                <v:fill o:detectmouseclick="t" on="false"/>
                <v:stroke color="#0070c0" weight="15840" joinstyle="round" endcap="flat"/>
                <w10:wrap type="none"/>
              </v:shape>
            </w:pict>
          </mc:Fallback>
        </mc:AlternateContent>
      </w:r>
    </w:p>
    <w:p>
      <w:pPr>
        <w:pStyle w:val="Normal"/>
        <w:jc w:val="both"/>
        <w:rPr>
          <w:rFonts w:ascii="Segoe UI" w:hAnsi="Segoe UI" w:cs="Segoe UI"/>
          <w:b/>
          <w:lang w:eastAsia="sk-SK"/>
        </w:rPr>
      </w:pPr>
      <w:r>
        <w:rPr>
          <w:rFonts w:cs="Segoe UI" w:ascii="Segoe UI" w:hAnsi="Segoe UI"/>
          <w:b/>
          <w:lang w:eastAsia="sk-SK"/>
        </w:rPr>
        <w:t>Контакты для СМИ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Управление Росреестра по Владимирской области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г. Владимир, ул. Офицерская, д. 33-а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Отдел организации, мониторинга и контроля</w:t>
      </w:r>
    </w:p>
    <w:p>
      <w:pPr>
        <w:pStyle w:val="NormalWeb"/>
        <w:spacing w:before="0" w:after="0"/>
        <w:rPr>
          <w:rFonts w:ascii="Segoe UI" w:hAnsi="Segoe UI" w:eastAsia="Calibri" w:cs="Segoe UI"/>
          <w:sz w:val="18"/>
          <w:szCs w:val="18"/>
          <w:lang w:eastAsia="en-US"/>
        </w:rPr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45-08-29</w:t>
      </w:r>
    </w:p>
    <w:p>
      <w:pPr>
        <w:pStyle w:val="NormalWeb"/>
        <w:spacing w:before="0" w:after="0"/>
        <w:rPr/>
      </w:pPr>
      <w:r>
        <w:rPr>
          <w:rFonts w:eastAsia="Calibri" w:cs="Segoe UI" w:ascii="Segoe UI" w:hAnsi="Segoe UI"/>
          <w:sz w:val="18"/>
          <w:szCs w:val="18"/>
          <w:lang w:eastAsia="en-US"/>
        </w:rPr>
        <w:t>(4922) 45-08-26</w:t>
      </w:r>
    </w:p>
    <w:sectPr>
      <w:type w:val="nextPage"/>
      <w:pgSz w:w="11906" w:h="16838"/>
      <w:pgMar w:left="1701" w:right="850" w:gutter="0" w:header="0" w:top="1134" w:footer="0" w:bottom="851"/>
      <w:pgNumType w:fmt="decimal"/>
      <w:formProt w:val="false"/>
      <w:textDirection w:val="lrTb"/>
      <w:docGrid w:type="default" w:linePitch="360" w:charSpace="8192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Calibri">
    <w:charset w:val="01"/>
    <w:family w:val="roman"/>
    <w:pitch w:val="default"/>
  </w:font>
  <w:font w:name="Calibri Light">
    <w:charset w:val="01"/>
    <w:family w:val="roman"/>
    <w:pitch w:val="default"/>
  </w:font>
  <w:font w:name="Segoe UI">
    <w:charset w:val="01"/>
    <w:family w:val="roman"/>
    <w:pitch w:val="default"/>
  </w:font>
  <w:font w:name="Times New Roman">
    <w:charset w:val="01"/>
    <w:family w:val="roman"/>
    <w:pitch w:val="default"/>
  </w:font>
  <w:font w:name="Arial">
    <w:charset w:val="01"/>
    <w:family w:val="roman"/>
    <w:pitch w:val="default"/>
  </w:font>
  <w:font w:name="PT Astra Serif">
    <w:charset w:val="01"/>
    <w:family w:val="roman"/>
    <w:pitch w:val="default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ru-RU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10" w:semiHidden="0" w:unhideWhenUsed="0" w:qFormat="1"/>
    <w:lsdException w:name="Default Paragraph Font" w:uiPriority="1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3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pPr>
      <w:widowControl/>
      <w:suppressAutoHyphens w:val="true"/>
      <w:bidi w:val="0"/>
      <w:spacing w:lineRule="auto" w:line="259" w:before="0" w:after="16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1">
    <w:name w:val="Heading 1"/>
    <w:basedOn w:val="Normal"/>
    <w:next w:val="Normal"/>
    <w:link w:val="11"/>
    <w:uiPriority w:val="9"/>
    <w:qFormat/>
    <w:rsid w:val="00235eef"/>
    <w:pPr>
      <w:keepNext w:val="true"/>
      <w:keepLines/>
      <w:spacing w:before="240" w:after="0"/>
      <w:outlineLvl w:val="0"/>
    </w:pPr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3" w:customStyle="1">
    <w:name w:val="Текст выноски Знак"/>
    <w:basedOn w:val="DefaultParagraphFont"/>
    <w:link w:val="BalloonText"/>
    <w:uiPriority w:val="99"/>
    <w:semiHidden/>
    <w:qFormat/>
    <w:rsid w:val="00df02f6"/>
    <w:rPr>
      <w:rFonts w:ascii="Segoe UI" w:hAnsi="Segoe UI" w:cs="Segoe UI"/>
      <w:sz w:val="18"/>
      <w:szCs w:val="18"/>
    </w:rPr>
  </w:style>
  <w:style w:type="character" w:styleId="11" w:customStyle="1">
    <w:name w:val="Заголовок 1 Знак"/>
    <w:basedOn w:val="DefaultParagraphFont"/>
    <w:uiPriority w:val="9"/>
    <w:qFormat/>
    <w:rsid w:val="00235eef"/>
    <w:rPr>
      <w:rFonts w:ascii="Calibri Light" w:hAnsi="Calibri Light" w:eastAsia="" w:cs="" w:asciiTheme="majorHAnsi" w:cstheme="majorBidi" w:eastAsiaTheme="majorEastAsia" w:hAnsiTheme="majorHAnsi"/>
      <w:color w:val="2E74B5" w:themeColor="accent1" w:themeShade="bf"/>
      <w:sz w:val="32"/>
      <w:szCs w:val="32"/>
    </w:rPr>
  </w:style>
  <w:style w:type="character" w:styleId="-">
    <w:name w:val="Hyperlink"/>
    <w:basedOn w:val="DefaultParagraphFont"/>
    <w:uiPriority w:val="99"/>
    <w:unhideWhenUsed/>
    <w:rsid w:val="00495c8f"/>
    <w:rPr>
      <w:color w:val="0563C1" w:themeColor="hyperlink"/>
      <w:u w:val="single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f93aab"/>
    <w:rPr>
      <w:sz w:val="16"/>
      <w:szCs w:val="16"/>
    </w:rPr>
  </w:style>
  <w:style w:type="character" w:styleId="Style14" w:customStyle="1">
    <w:name w:val="Текст примечания Знак"/>
    <w:basedOn w:val="DefaultParagraphFont"/>
    <w:link w:val="Annotationtext"/>
    <w:uiPriority w:val="99"/>
    <w:semiHidden/>
    <w:qFormat/>
    <w:rsid w:val="00f93aab"/>
    <w:rPr>
      <w:sz w:val="20"/>
      <w:szCs w:val="20"/>
    </w:rPr>
  </w:style>
  <w:style w:type="character" w:styleId="Style15" w:customStyle="1">
    <w:name w:val="Тема примечания Знак"/>
    <w:basedOn w:val="Style14"/>
    <w:link w:val="Annotationsubject"/>
    <w:uiPriority w:val="99"/>
    <w:semiHidden/>
    <w:qFormat/>
    <w:rsid w:val="00f93aab"/>
    <w:rPr>
      <w:b/>
      <w:bCs/>
      <w:sz w:val="20"/>
      <w:szCs w:val="20"/>
    </w:rPr>
  </w:style>
  <w:style w:type="character" w:styleId="3" w:customStyle="1">
    <w:name w:val="Основной текст с отступом 3 Знак"/>
    <w:basedOn w:val="DefaultParagraphFont"/>
    <w:link w:val="BodyTextIndent3"/>
    <w:uiPriority w:val="99"/>
    <w:qFormat/>
    <w:rsid w:val="00430e6d"/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character" w:styleId="ConsPlusNormal" w:customStyle="1">
    <w:name w:val="ConsPlusNormal Знак"/>
    <w:link w:val="ConsPlusNormal1"/>
    <w:qFormat/>
    <w:locked/>
    <w:rsid w:val="00f96508"/>
    <w:rPr>
      <w:rFonts w:ascii="Arial" w:hAnsi="Arial" w:cs="Arial"/>
      <w:sz w:val="20"/>
      <w:szCs w:val="20"/>
    </w:rPr>
  </w:style>
  <w:style w:type="character" w:styleId="BodyText2" w:customStyle="1">
    <w:name w:val="Body Text 2 Знак"/>
    <w:link w:val="21"/>
    <w:qFormat/>
    <w:rsid w:val="005f3b17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2" w:customStyle="1">
    <w:name w:val="Основной текст 2 Знак"/>
    <w:basedOn w:val="DefaultParagraphFont"/>
    <w:link w:val="BodyText21"/>
    <w:uiPriority w:val="99"/>
    <w:qFormat/>
    <w:rsid w:val="00e90a57"/>
    <w:rPr/>
  </w:style>
  <w:style w:type="paragraph" w:styleId="Style16" w:customStyle="1">
    <w:name w:val="Заголовок"/>
    <w:basedOn w:val="Normal"/>
    <w:next w:val="Style17"/>
    <w:qFormat/>
    <w:pPr>
      <w:keepNext w:val="true"/>
      <w:spacing w:before="240" w:after="120"/>
    </w:pPr>
    <w:rPr>
      <w:rFonts w:ascii="PT Astra Serif" w:hAnsi="PT Astra Serif" w:eastAsia="Tahoma" w:cs="Noto Sans Devanagari"/>
      <w:sz w:val="28"/>
      <w:szCs w:val="28"/>
    </w:rPr>
  </w:style>
  <w:style w:type="paragraph" w:styleId="Style17">
    <w:name w:val="Body Text"/>
    <w:basedOn w:val="Normal"/>
    <w:pPr>
      <w:spacing w:lineRule="auto" w:line="276" w:before="0" w:after="140"/>
    </w:pPr>
    <w:rPr/>
  </w:style>
  <w:style w:type="paragraph" w:styleId="Style18">
    <w:name w:val="List"/>
    <w:basedOn w:val="Style17"/>
    <w:pPr/>
    <w:rPr>
      <w:rFonts w:ascii="PT Astra Serif" w:hAnsi="PT Astra Serif" w:cs="Noto Sans Devanagari"/>
    </w:rPr>
  </w:style>
  <w:style w:type="paragraph" w:styleId="Style19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Style20">
    <w:name w:val="Указатель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ascii="PT Astra Serif" w:hAnsi="PT Astra Serif" w:cs="Noto Sans Devanagari"/>
      <w:i/>
      <w:iCs/>
      <w:sz w:val="24"/>
      <w:szCs w:val="24"/>
    </w:rPr>
  </w:style>
  <w:style w:type="paragraph" w:styleId="Indexheading">
    <w:name w:val="index heading"/>
    <w:basedOn w:val="Normal"/>
    <w:qFormat/>
    <w:pPr>
      <w:suppressLineNumbers/>
    </w:pPr>
    <w:rPr>
      <w:rFonts w:ascii="PT Astra Serif" w:hAnsi="PT Astra Serif" w:cs="Noto Sans Devanagari"/>
    </w:rPr>
  </w:style>
  <w:style w:type="paragraph" w:styleId="BalloonText">
    <w:name w:val="Balloon Text"/>
    <w:basedOn w:val="Normal"/>
    <w:link w:val="Style13"/>
    <w:uiPriority w:val="99"/>
    <w:semiHidden/>
    <w:unhideWhenUsed/>
    <w:qFormat/>
    <w:rsid w:val="00df02f6"/>
    <w:pPr>
      <w:spacing w:lineRule="auto" w:line="240" w:before="0" w:after="0"/>
    </w:pPr>
    <w:rPr>
      <w:rFonts w:ascii="Segoe UI" w:hAnsi="Segoe UI" w:cs="Segoe UI"/>
      <w:sz w:val="18"/>
      <w:szCs w:val="18"/>
    </w:rPr>
  </w:style>
  <w:style w:type="paragraph" w:styleId="NoSpacing">
    <w:name w:val="No Spacing"/>
    <w:uiPriority w:val="1"/>
    <w:qFormat/>
    <w:rsid w:val="00235eef"/>
    <w:pPr>
      <w:widowControl/>
      <w:suppressAutoHyphens w:val="true"/>
      <w:bidi w:val="0"/>
      <w:spacing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2"/>
      <w:szCs w:val="22"/>
      <w:lang w:val="ru-RU" w:eastAsia="en-US" w:bidi="ar-SA"/>
    </w:rPr>
  </w:style>
  <w:style w:type="paragraph" w:styleId="ListParagraph">
    <w:name w:val="List Paragraph"/>
    <w:basedOn w:val="Normal"/>
    <w:uiPriority w:val="34"/>
    <w:qFormat/>
    <w:rsid w:val="00cb3098"/>
    <w:pPr>
      <w:spacing w:lineRule="auto" w:line="252" w:before="0" w:after="160"/>
      <w:ind w:left="720" w:hanging="0"/>
      <w:contextualSpacing/>
    </w:pPr>
    <w:rPr/>
  </w:style>
  <w:style w:type="paragraph" w:styleId="Annotationtext">
    <w:name w:val="annotation text"/>
    <w:basedOn w:val="Normal"/>
    <w:link w:val="Style14"/>
    <w:uiPriority w:val="99"/>
    <w:semiHidden/>
    <w:unhideWhenUsed/>
    <w:qFormat/>
    <w:rsid w:val="00f93aab"/>
    <w:pPr>
      <w:spacing w:lineRule="auto" w:line="240"/>
    </w:pPr>
    <w:rPr>
      <w:sz w:val="20"/>
      <w:szCs w:val="20"/>
    </w:rPr>
  </w:style>
  <w:style w:type="paragraph" w:styleId="Annotationsubject">
    <w:name w:val="annotation subject"/>
    <w:basedOn w:val="Annotationtext"/>
    <w:next w:val="Annotationtext"/>
    <w:link w:val="Style15"/>
    <w:uiPriority w:val="99"/>
    <w:semiHidden/>
    <w:unhideWhenUsed/>
    <w:qFormat/>
    <w:rsid w:val="00f93aab"/>
    <w:pPr/>
    <w:rPr>
      <w:b/>
      <w:bCs/>
    </w:rPr>
  </w:style>
  <w:style w:type="paragraph" w:styleId="NormalWeb">
    <w:name w:val="Normal (Web)"/>
    <w:basedOn w:val="Normal"/>
    <w:uiPriority w:val="99"/>
    <w:unhideWhenUsed/>
    <w:qFormat/>
    <w:rsid w:val="00430e6d"/>
    <w:pPr>
      <w:spacing w:lineRule="auto" w:line="240" w:before="0" w:after="96"/>
    </w:pPr>
    <w:rPr>
      <w:rFonts w:ascii="Times New Roman" w:hAnsi="Times New Roman" w:eastAsia="Times New Roman" w:cs="Times New Roman"/>
      <w:sz w:val="24"/>
      <w:szCs w:val="24"/>
      <w:lang w:eastAsia="ru-RU"/>
    </w:rPr>
  </w:style>
  <w:style w:type="paragraph" w:styleId="BodyTextIndent3">
    <w:name w:val="Body Text Indent 3"/>
    <w:basedOn w:val="Normal"/>
    <w:link w:val="3"/>
    <w:uiPriority w:val="99"/>
    <w:unhideWhenUsed/>
    <w:qFormat/>
    <w:rsid w:val="00430e6d"/>
    <w:pPr>
      <w:widowControl w:val="false"/>
      <w:spacing w:lineRule="auto" w:line="240" w:before="0" w:after="120"/>
      <w:ind w:left="283" w:hanging="0"/>
    </w:pPr>
    <w:rPr>
      <w:rFonts w:ascii="Times New Roman" w:hAnsi="Times New Roman" w:eastAsia="Arial Unicode MS" w:cs="Mangal"/>
      <w:kern w:val="2"/>
      <w:sz w:val="16"/>
      <w:szCs w:val="14"/>
      <w:lang w:eastAsia="hi-IN" w:bidi="hi-IN"/>
    </w:rPr>
  </w:style>
  <w:style w:type="paragraph" w:styleId="ConsPlusNormal1" w:customStyle="1">
    <w:name w:val="ConsPlusNormal"/>
    <w:link w:val="ConsPlusNormal"/>
    <w:qFormat/>
    <w:rsid w:val="00f96508"/>
    <w:pPr>
      <w:widowControl/>
      <w:suppressAutoHyphens w:val="true"/>
      <w:bidi w:val="0"/>
      <w:spacing w:before="0" w:after="0"/>
      <w:jc w:val="left"/>
    </w:pPr>
    <w:rPr>
      <w:rFonts w:ascii="Arial" w:hAnsi="Arial" w:eastAsia="Calibri" w:cs="Arial" w:eastAsiaTheme="minorHAnsi"/>
      <w:color w:val="auto"/>
      <w:kern w:val="0"/>
      <w:sz w:val="20"/>
      <w:szCs w:val="20"/>
      <w:lang w:val="ru-RU" w:eastAsia="en-US" w:bidi="ar-SA"/>
    </w:rPr>
  </w:style>
  <w:style w:type="paragraph" w:styleId="21" w:customStyle="1">
    <w:name w:val="Основной текст 21"/>
    <w:basedOn w:val="Normal"/>
    <w:link w:val="BodyText2"/>
    <w:qFormat/>
    <w:rsid w:val="005f3b17"/>
    <w:pPr>
      <w:spacing w:lineRule="auto" w:line="240" w:before="0" w:after="0"/>
      <w:jc w:val="both"/>
    </w:pPr>
    <w:rPr>
      <w:rFonts w:ascii="Times New Roman" w:hAnsi="Times New Roman" w:eastAsia="Times New Roman" w:cs="Times New Roman"/>
      <w:sz w:val="24"/>
      <w:szCs w:val="20"/>
      <w:lang w:eastAsia="ru-RU"/>
    </w:rPr>
  </w:style>
  <w:style w:type="paragraph" w:styleId="ConsNormal" w:customStyle="1">
    <w:name w:val="ConsNormal"/>
    <w:uiPriority w:val="99"/>
    <w:qFormat/>
    <w:rsid w:val="00a75332"/>
    <w:pPr>
      <w:widowControl/>
      <w:suppressAutoHyphens w:val="true"/>
      <w:bidi w:val="0"/>
      <w:spacing w:before="0" w:after="0"/>
      <w:ind w:right="19772" w:firstLine="720"/>
      <w:jc w:val="left"/>
    </w:pPr>
    <w:rPr>
      <w:rFonts w:ascii="Arial" w:hAnsi="Arial" w:eastAsia="Times New Roman" w:cs="Arial"/>
      <w:color w:val="auto"/>
      <w:kern w:val="0"/>
      <w:sz w:val="40"/>
      <w:szCs w:val="40"/>
      <w:lang w:val="ru-RU" w:eastAsia="ru-RU" w:bidi="ar-SA"/>
    </w:rPr>
  </w:style>
  <w:style w:type="paragraph" w:styleId="BodyText21">
    <w:name w:val="Body Text 2"/>
    <w:basedOn w:val="Normal"/>
    <w:link w:val="2"/>
    <w:uiPriority w:val="99"/>
    <w:unhideWhenUsed/>
    <w:qFormat/>
    <w:rsid w:val="00e90a57"/>
    <w:pPr>
      <w:spacing w:lineRule="auto" w:line="480" w:before="0" w:after="120"/>
    </w:pPr>
    <w:rPr/>
  </w:style>
  <w:style w:type="paragraph" w:styleId="Paragraphmrcssattr">
    <w:name w:val="paragraph_mr_css_attr"/>
    <w:qFormat/>
    <w:pPr>
      <w:keepNext w:val="false"/>
      <w:keepLines w:val="false"/>
      <w:pageBreakBefore w:val="false"/>
      <w:widowControl/>
      <w:shd w:val="nil"/>
      <w:suppressAutoHyphens w:val="true"/>
      <w:bidi w:val="0"/>
      <w:spacing w:lineRule="auto" w:line="240" w:beforeAutospacing="1" w:afterAutospacing="1"/>
      <w:ind w:left="0" w:right="0" w:hanging="0"/>
      <w:jc w:val="left"/>
    </w:pPr>
    <w:rPr>
      <w:rFonts w:ascii="Times New Roman" w:hAnsi="Times New Roman" w:eastAsia="Times New Roman" w:cs="Times New Roman"/>
      <w:b w:val="false"/>
      <w:bCs w:val="false"/>
      <w:i w:val="false"/>
      <w:iCs w:val="false"/>
      <w:caps w:val="false"/>
      <w:smallCaps w:val="false"/>
      <w:strike w:val="false"/>
      <w:dstrike w:val="false"/>
      <w:vanish w:val="false"/>
      <w:color w:val="auto"/>
      <w:spacing w:val="0"/>
      <w:kern w:val="0"/>
      <w:position w:val="0"/>
      <w:sz w:val="24"/>
      <w:sz w:val="24"/>
      <w:szCs w:val="24"/>
      <w:u w:val="none"/>
      <w:vertAlign w:val="baseline"/>
      <w:lang w:val="ru-RU" w:eastAsia="ru-RU" w:bidi="ar-SA"/>
      <w14:ligatures w14:val="none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yperlink" Target="consultantplus://offline/ref=E6347BDF271C492C1094DA10A7B5D45264F733C140399E661B86A12F137F8975803D2D00A1E15E1139825814E5599CB0C2C7765219898BDAB0SEH" TargetMode="External"/><Relationship Id="rId4" Type="http://schemas.openxmlformats.org/officeDocument/2006/relationships/hyperlink" Target="consultantplus://offline/ref=E6347BDF271C492C1094DA10A7B5D45264F733C140399E661B86A12F137F8975803D2D00A1E15E1133825814E5599CB0C2C7765219898BDAB0SEH" TargetMode="External"/><Relationship Id="rId5" Type="http://schemas.openxmlformats.org/officeDocument/2006/relationships/hyperlink" Target="consultantplus://offline/ref=E6347BDF271C492C1094DA10A7B5D45264F733C140399E661B86A12F137F8975803D2D00A1E15E1E3E825814E5599CB0C2C7765219898BDAB0SEH" TargetMode="External"/><Relationship Id="rId6" Type="http://schemas.openxmlformats.org/officeDocument/2006/relationships/hyperlink" Target="consultantplus://offline/ref=E6347BDF271C492C1094DA10A7B5D45264F733C140399E661B86A12F137F8975803D2D00A1E15A113D825814E5599CB0C2C7765219898BDAB0SEH" TargetMode="External"/><Relationship Id="rId7" Type="http://schemas.openxmlformats.org/officeDocument/2006/relationships/hyperlink" Target="consultantplus://offline/ref=E6347BDF271C492C1094DA10A7B5D45264F733C140399E661B86A12F137F8975803D2D00A1E15A1138825814E5599CB0C2C7765219898BDAB0SEH" TargetMode="External"/><Relationship Id="rId8" Type="http://schemas.openxmlformats.org/officeDocument/2006/relationships/hyperlink" Target="consultantplus://offline/ref=E6347BDF271C492C1094DA10A7B5D45264F733C140399E661B86A12F137F8975803D2D00A1E15A1E3F825814E5599CB0C2C7765219898BDAB0SEH" TargetMode="External"/><Relationship Id="rId9" Type="http://schemas.openxmlformats.org/officeDocument/2006/relationships/hyperlink" Target="consultantplus://offline/ref=E6347BDF271C492C1094DA10A7B5D45264F733C140399E661B86A12F137F8975803D2D00A1E15B1F3D825814E5599CB0C2C7765219898BDAB0SEH" TargetMode="External"/><Relationship Id="rId10" Type="http://schemas.openxmlformats.org/officeDocument/2006/relationships/hyperlink" Target="consultantplus://offline/ref=E6347BDF271C492C1094DA10A7B5D45264F733C140399E661B86A12F137F8975803D2D00A1E158163B825814E5599CB0C2C7765219898BDAB0SEH" TargetMode="External"/><Relationship Id="rId11" Type="http://schemas.openxmlformats.org/officeDocument/2006/relationships/hyperlink" Target="consultantplus://offline/ref=E6347BDF271C492C1094DA10A7B5D45264F733C140399E661B86A12F137F8975803D2D00A2E5571D6FD84810AC0C96AEC4DB69520789B8S8H" TargetMode="External"/><Relationship Id="rId12" Type="http://schemas.openxmlformats.org/officeDocument/2006/relationships/hyperlink" Target="consultantplus://offline/ref=E6347BDF271C492C1094DA10A7B5D45264F733C140399E661B86A12F137F8975803D2D00A1E158163A825814E5599CB0C2C7765219898BDAB0SEH" TargetMode="External"/><Relationship Id="rId13" Type="http://schemas.openxmlformats.org/officeDocument/2006/relationships/hyperlink" Target="consultantplus://offline/ref=E6347BDF271C492C1094DA10A7B5D45264F136C64F399E661B86A12F137F8975803D2D00A1E1581E3B825814E5599CB0C2C7765219898BDAB0SEH" TargetMode="External"/><Relationship Id="rId14" Type="http://schemas.openxmlformats.org/officeDocument/2006/relationships/hyperlink" Target="consultantplus://offline/ref=E6347BDF271C492C1094DA10A7B5D45264F733C140399E661B86A12F137F8975803D2D00A3E35C1D6FD84810AC0C96AEC4DB69520789B8S8H" TargetMode="External"/><Relationship Id="rId15" Type="http://schemas.openxmlformats.org/officeDocument/2006/relationships/hyperlink" Target="consultantplus://offline/ref=E6347BDF271C492C1094DA10A7B5D45264F733C140399E661B86A12F137F8975803D2D00A1E1581638825814E5599CB0C2C7765219898BDAB0SEH" TargetMode="External"/><Relationship Id="rId16" Type="http://schemas.openxmlformats.org/officeDocument/2006/relationships/hyperlink" Target="consultantplus://offline/ref=E6347BDF271C492C1094DA10A7B5D45264F03DC74F3E9E661B86A12F137F8975803D2D00A1E15E173F825814E5599CB0C2C7765219898BDAB0SEH" TargetMode="External"/><Relationship Id="rId17" Type="http://schemas.openxmlformats.org/officeDocument/2006/relationships/hyperlink" Target="consultantplus://offline/ref=E6347BDF271C492C1094DA10A7B5D45264F03DC74F3E9E661B86A12F137F8975803D2D00A8E055426ACD5948A10B8FB1C7C7755005B8S8H" TargetMode="External"/><Relationship Id="rId18" Type="http://schemas.openxmlformats.org/officeDocument/2006/relationships/fontTable" Target="fontTable.xml"/><Relationship Id="rId19" Type="http://schemas.openxmlformats.org/officeDocument/2006/relationships/settings" Target="settings.xml"/><Relationship Id="rId20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1031</TotalTime>
  <Application>LibreOffice/7.5.6.2$Linux_X86_64 LibreOffice_project/50$Build-2</Application>
  <AppVersion>15.0000</AppVersion>
  <Pages>2</Pages>
  <Words>509</Words>
  <Characters>3595</Characters>
  <CharactersWithSpaces>4223</CharactersWithSpaces>
  <Paragraphs>26</Paragraphs>
  <Company>Управление Росреестра по Владимирской области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2022-06-23T07:13:00Z</dcterms:created>
  <dc:creator>Пушкарская Диана Дмитриевна</dc:creator>
  <dc:description/>
  <dc:language>ru-RU</dc:language>
  <cp:lastModifiedBy/>
  <cp:lastPrinted>2023-01-25T06:45:00Z</cp:lastPrinted>
  <dcterms:modified xsi:type="dcterms:W3CDTF">2024-09-25T17:07:23Z</dcterms:modified>
  <cp:revision>66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