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tabs>
          <w:tab w:val="clear" w:pos="708"/>
          <w:tab w:val="left" w:pos="3119" w:leader="none"/>
        </w:tabs>
        <w:rPr/>
      </w:pPr>
      <w:r>
        <w:drawing>
          <wp:anchor behindDoc="0" distT="0" distB="0" distL="0" distR="114300" simplePos="0" locked="0" layoutInCell="0" allowOverlap="1" relativeHeight="3">
            <wp:simplePos x="0" y="0"/>
            <wp:positionH relativeFrom="column">
              <wp:align>left</wp:align>
            </wp:positionH>
            <wp:positionV relativeFrom="paragraph">
              <wp:posOffset>635</wp:posOffset>
            </wp:positionV>
            <wp:extent cx="1990725" cy="704850"/>
            <wp:effectExtent l="0" t="0" r="0" b="0"/>
            <wp:wrapSquare wrapText="bothSides"/>
            <wp:docPr id="1" name="Рисунок 3" descr="C:\Users\E.Kudryashova\AppData\Local\Microsoft\Windows\INetCache\Content.Word\Лого основное 2 Владими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C:\Users\E.Kudryashova\AppData\Local\Microsoft\Windows\INetCache\Content.Word\Лого основное 2 Владими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 xml:space="preserve">                                                                                                                                        </w:t>
      </w:r>
    </w:p>
    <w:p>
      <w:pPr>
        <w:pStyle w:val="NoSpacing"/>
        <w:rPr/>
      </w:pPr>
      <w:r>
        <w:rPr/>
        <w:br w:type="textWrapping" w:clear="all"/>
      </w:r>
    </w:p>
    <w:p>
      <w:pPr>
        <w:pStyle w:val="NoSpacing"/>
        <w:jc w:val="right"/>
        <w:rPr>
          <w:rFonts w:ascii="Arial" w:hAnsi="Arial" w:eastAsia="Arial Unicode MS" w:cs="Arial"/>
          <w:b/>
          <w:sz w:val="26"/>
          <w:szCs w:val="26"/>
        </w:rPr>
      </w:pPr>
      <w:r>
        <w:rPr>
          <w:rFonts w:eastAsia="Arial Unicode MS" w:cs="Arial" w:ascii="Arial" w:hAnsi="Arial"/>
          <w:b/>
          <w:sz w:val="26"/>
          <w:szCs w:val="26"/>
        </w:rPr>
      </w:r>
    </w:p>
    <w:p>
      <w:pPr>
        <w:pStyle w:val="NoSpacing"/>
        <w:jc w:val="right"/>
        <w:rPr>
          <w:rFonts w:ascii="Arial" w:hAnsi="Arial" w:eastAsia="Arial Unicode MS" w:cs="Arial"/>
          <w:b/>
          <w:sz w:val="26"/>
          <w:szCs w:val="26"/>
        </w:rPr>
      </w:pPr>
      <w:r>
        <w:rPr>
          <w:rFonts w:eastAsia="Arial Unicode MS" w:cs="Arial" w:ascii="Arial" w:hAnsi="Arial"/>
          <w:b/>
          <w:sz w:val="26"/>
          <w:szCs w:val="26"/>
        </w:rPr>
        <w:t>ПРЕСС-РЕЛИЗ</w:t>
      </w:r>
    </w:p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center"/>
        <w:rPr>
          <w:rFonts w:ascii="Arial" w:hAnsi="Arial"/>
          <w:sz w:val="26"/>
          <w:szCs w:val="26"/>
        </w:rPr>
      </w:pPr>
      <w:r>
        <w:rPr>
          <w:rFonts w:eastAsia="Arial Unicode MS" w:cs="Times New Roman" w:ascii="Arial" w:hAnsi="Arial"/>
          <w:b/>
          <w:sz w:val="26"/>
          <w:szCs w:val="26"/>
        </w:rPr>
        <w:t>Управление Росреестра по Владимирской области информирует</w:t>
      </w:r>
    </w:p>
    <w:p>
      <w:pPr>
        <w:pStyle w:val="NoSpacing"/>
        <w:jc w:val="center"/>
        <w:rPr>
          <w:rFonts w:ascii="Arial" w:hAnsi="Arial"/>
          <w:sz w:val="26"/>
          <w:szCs w:val="26"/>
        </w:rPr>
      </w:pPr>
      <w:r>
        <w:rPr>
          <w:rFonts w:eastAsia="Arial Unicode MS" w:cs="Times New Roman" w:ascii="Arial" w:hAnsi="Arial"/>
          <w:b/>
          <w:sz w:val="26"/>
          <w:szCs w:val="26"/>
        </w:rPr>
        <w:t xml:space="preserve">об участии в заседании коллегии  </w:t>
      </w:r>
      <w:r>
        <w:rPr>
          <w:rFonts w:eastAsia="Arial Unicode MS" w:cs="Times New Roman" w:ascii="Arial" w:hAnsi="Arial"/>
          <w:b/>
          <w:color w:val="auto"/>
          <w:kern w:val="0"/>
          <w:sz w:val="26"/>
          <w:szCs w:val="26"/>
          <w:lang w:val="ru-RU" w:eastAsia="en-US" w:bidi="ar-SA"/>
        </w:rPr>
        <w:t>Министерства имущественных и земельных отношений области</w:t>
      </w:r>
    </w:p>
    <w:p>
      <w:pPr>
        <w:pStyle w:val="NoSpacing"/>
        <w:spacing w:lineRule="auto" w:line="240"/>
        <w:rPr>
          <w:rFonts w:ascii="Arial" w:hAnsi="Arial" w:eastAsia="Arial Unicode MS" w:cs="Arial"/>
          <w:b/>
          <w:sz w:val="26"/>
          <w:szCs w:val="26"/>
        </w:rPr>
      </w:pPr>
      <w:r>
        <w:rPr>
          <w:rFonts w:eastAsia="Arial Unicode MS" w:cs="Arial" w:ascii="Arial" w:hAnsi="Arial"/>
          <w:b/>
          <w:sz w:val="26"/>
          <w:szCs w:val="26"/>
        </w:rPr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7 ноября 2024 года руководитель Управления Алексей Сарыгин принял участие в заседании коллегии Министерства имущественных и земельных отношений Владимирской области по вопросу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освоения средств областного бюджета, выделенных на выполнение комплексных кадастровых работ в 2024 году.</w:t>
      </w:r>
    </w:p>
    <w:p>
      <w:pPr>
        <w:pStyle w:val="Normal"/>
        <w:tabs>
          <w:tab w:val="clear" w:pos="708"/>
          <w:tab w:val="left" w:pos="142" w:leader="none"/>
        </w:tabs>
        <w:spacing w:lineRule="auto" w:line="240" w:before="0" w:after="0"/>
        <w:ind w:firstLine="709"/>
        <w:jc w:val="both"/>
        <w:rPr>
          <w:rFonts w:ascii="Times New Roman" w:hAnsi="Times New Roman" w:eastAsia="Calibri" w:cs="Times New Roman" w:eastAsiaTheme="minorHAnsi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 xml:space="preserve">В ходе заседания представители Министерства напомнили присутствующим, что проведение комплексных кадастровых работ (ККР) является частью государственной программы Российской Федерации «Национальная система пространственных данных», утвержденной постановлением Правительства Российской Федерации от 01.12.2021 № 1258. Ее целью является обеспечение полноты и качества сведений в Едином государственном реестре недвижимости (ЕГРН) в объеме 95% к концу 2030 года. 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 w:eastAsiaTheme="minorHAnsi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 xml:space="preserve">Председатель коллегии, Министр имущественных и земельных отношений Владимирской области Владимир Горланов сообщил, что в настоящее время Министерством заключены соглашения о предоставлении субсидии из бюджета Владимирской области бюджетам муниципальных образований с пятью муниципальными образованиями: ЗАТО г Радужный, Александровский, Вязниковский, Кольчугинский, Петушинский муниципальные районы и на данных территориях проводятся ККР.   </w:t>
      </w:r>
    </w:p>
    <w:p>
      <w:pPr>
        <w:pStyle w:val="Normal"/>
        <w:tabs>
          <w:tab w:val="clear" w:pos="708"/>
          <w:tab w:val="left" w:pos="142" w:leader="none"/>
        </w:tabs>
        <w:spacing w:lineRule="auto" w:line="240" w:before="0" w:after="0"/>
        <w:ind w:firstLine="709"/>
        <w:jc w:val="both"/>
        <w:rPr>
          <w:rFonts w:ascii="Times New Roman" w:hAnsi="Times New Roman" w:eastAsia="Calibri" w:cs="Times New Roman" w:eastAsiaTheme="minorHAnsi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 xml:space="preserve">Алексей Сарыгин в свою очередь отметил: «Проведение ККР повышает инвестиционную привлекательность территорий, влияет на формирование эффективной градостроительной и земельной политики, способствует выявлению ранее учтенных объектов недвижимости, самовольного захвата земельных участков, самовольных построек».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 w:eastAsiaTheme="minorHAnsi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 xml:space="preserve">Хотелось бы напомнить, что результатом выполнения ККР является образование земельных участков, осуществление уточнения местоположения границ земельных участков, установление наличия зданий и сооружений, объектов незавершенного строительства на земельных участках, а также обеспечение исправления реестровых ошибок в части местоположения границ объектов недвижимости. </w:t>
      </w:r>
    </w:p>
    <w:p>
      <w:pPr>
        <w:pStyle w:val="Normal"/>
        <w:tabs>
          <w:tab w:val="clear" w:pos="708"/>
          <w:tab w:val="left" w:pos="142" w:leader="none"/>
        </w:tabs>
        <w:spacing w:lineRule="auto" w:line="240" w:before="0" w:after="0"/>
        <w:ind w:firstLine="709"/>
        <w:jc w:val="both"/>
        <w:rPr>
          <w:rFonts w:ascii="Times New Roman" w:hAnsi="Times New Roman" w:eastAsia="Calibri" w:cs="Times New Roman" w:eastAsiaTheme="minorHAnsi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Кроме того, проведение данных мероприятий освобождает правообладателей от оплаты кадастровых работ в отношении земельных участков и объектов недвижимости и позволяет снизить себестоимость их проведения.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hanging="0"/>
        <w:jc w:val="both"/>
        <w:rPr/>
      </w:pPr>
      <w:r>
        <w:rPr/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i/>
          <w:color w:val="201600"/>
          <w:sz w:val="24"/>
          <w:szCs w:val="24"/>
        </w:rPr>
      </w:r>
    </w:p>
    <w:p>
      <w:pPr>
        <w:pStyle w:val="BodyTextIndent3"/>
        <w:spacing w:before="0" w:after="0"/>
        <w:ind w:left="0" w:firstLine="709"/>
        <w:contextualSpacing/>
        <w:jc w:val="right"/>
        <w:rPr>
          <w:i/>
          <w:i/>
          <w:color w:val="201600"/>
          <w:sz w:val="24"/>
          <w:szCs w:val="24"/>
        </w:rPr>
      </w:pPr>
      <w:r>
        <w:rPr>
          <w:i/>
          <w:color w:val="201600"/>
          <w:sz w:val="24"/>
          <w:szCs w:val="24"/>
        </w:rPr>
        <w:t xml:space="preserve">Материал подготовлен Управлением Росреестра </w:t>
      </w:r>
    </w:p>
    <w:p>
      <w:pPr>
        <w:pStyle w:val="BodyTextIndent3"/>
        <w:spacing w:before="0" w:after="0"/>
        <w:ind w:left="0" w:firstLine="709"/>
        <w:contextualSpacing/>
        <w:jc w:val="right"/>
        <w:rPr>
          <w:i/>
          <w:i/>
          <w:color w:val="201600"/>
          <w:sz w:val="24"/>
          <w:szCs w:val="24"/>
        </w:rPr>
      </w:pPr>
      <w:r>
        <w:rPr>
          <w:i/>
          <w:color w:val="201600"/>
          <w:sz w:val="24"/>
          <w:szCs w:val="24"/>
        </w:rPr>
        <w:t>по Владимирской области</w:t>
      </w:r>
    </w:p>
    <w:p>
      <w:pPr>
        <w:pStyle w:val="Normal"/>
        <w:ind w:firstLine="709"/>
        <w:jc w:val="both"/>
        <w:rPr>
          <w:rFonts w:ascii="Segoe UI" w:hAnsi="Segoe UI" w:cs="Segoe UI"/>
          <w:b/>
          <w:color w:val="0070C0"/>
          <w:lang w:eastAsia="sk-SK"/>
        </w:rPr>
      </w:pPr>
      <w:r>
        <w:rPr>
          <w:rFonts w:cs="Segoe UI" w:ascii="Segoe UI" w:hAnsi="Segoe UI"/>
          <w:b/>
          <w:color w:val="0070C0"/>
          <w:lang w:eastAsia="sk-SK"/>
        </w:rPr>
        <mc:AlternateContent>
          <mc:Choice Requires="wps">
            <w:drawing>
              <wp:anchor behindDoc="0" distT="8890" distB="8255" distL="8255" distR="8890" simplePos="0" locked="0" layoutInCell="1" allowOverlap="1" relativeHeight="2">
                <wp:simplePos x="0" y="0"/>
                <wp:positionH relativeFrom="column">
                  <wp:posOffset>-75565</wp:posOffset>
                </wp:positionH>
                <wp:positionV relativeFrom="paragraph">
                  <wp:posOffset>48895</wp:posOffset>
                </wp:positionV>
                <wp:extent cx="6000750" cy="635"/>
                <wp:effectExtent l="8255" t="8890" r="8890" b="8255"/>
                <wp:wrapNone/>
                <wp:docPr id="2" name="Прямая со стрелкой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840" cy="7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path="m,l21600,21600nfe">
                <v:stroke joinstyle="miter"/>
                <v:path gradientshapeok="t" o:connecttype="rect" textboxrect="0,0,21600,21600"/>
              </v:shapetype>
              <v:shape id="shape_0" ID="Прямая со стрелкой 2" path="m0,0l-2147483648,-2147483647e" stroked="t" o:allowincell="f" style="position:absolute;margin-left:-5.95pt;margin-top:3.85pt;width:472.45pt;height:0pt;mso-wrap-style:none;v-text-anchor:middle" type="_x0000_t32">
                <v:fill o:detectmouseclick="t" on="false"/>
                <v:stroke color="#0070c0" weight="15840" joinstyle="round" endcap="flat"/>
                <w10:wrap type="none"/>
              </v:shape>
            </w:pict>
          </mc:Fallback>
        </mc:AlternateContent>
      </w:r>
    </w:p>
    <w:p>
      <w:pPr>
        <w:pStyle w:val="Normal"/>
        <w:jc w:val="both"/>
        <w:rPr>
          <w:rFonts w:ascii="Segoe UI" w:hAnsi="Segoe UI" w:cs="Segoe UI"/>
          <w:b/>
          <w:lang w:eastAsia="sk-SK"/>
        </w:rPr>
      </w:pPr>
      <w:r>
        <w:rPr>
          <w:rFonts w:cs="Segoe UI" w:ascii="Segoe UI" w:hAnsi="Segoe UI"/>
          <w:b/>
          <w:lang w:eastAsia="sk-SK"/>
        </w:rPr>
        <w:t>Контакты для СМИ</w:t>
      </w:r>
    </w:p>
    <w:p>
      <w:pPr>
        <w:pStyle w:val="NormalWeb"/>
        <w:spacing w:before="0" w:after="0"/>
        <w:rPr>
          <w:rFonts w:ascii="Segoe UI" w:hAnsi="Segoe UI" w:eastAsia="Calibri" w:cs="Segoe UI"/>
          <w:sz w:val="18"/>
          <w:szCs w:val="18"/>
          <w:lang w:eastAsia="en-US"/>
        </w:rPr>
      </w:pPr>
      <w:r>
        <w:rPr>
          <w:rFonts w:eastAsia="Calibri" w:cs="Segoe UI" w:ascii="Segoe UI" w:hAnsi="Segoe UI"/>
          <w:sz w:val="18"/>
          <w:szCs w:val="18"/>
          <w:lang w:eastAsia="en-US"/>
        </w:rPr>
        <w:t>Управление Росреестра по Владимирской области</w:t>
      </w:r>
    </w:p>
    <w:p>
      <w:pPr>
        <w:pStyle w:val="NormalWeb"/>
        <w:spacing w:before="0" w:after="0"/>
        <w:rPr>
          <w:rFonts w:ascii="Segoe UI" w:hAnsi="Segoe UI" w:eastAsia="Calibri" w:cs="Segoe UI"/>
          <w:sz w:val="18"/>
          <w:szCs w:val="18"/>
          <w:lang w:eastAsia="en-US"/>
        </w:rPr>
      </w:pPr>
      <w:r>
        <w:rPr>
          <w:rFonts w:eastAsia="Calibri" w:cs="Segoe UI" w:ascii="Segoe UI" w:hAnsi="Segoe UI"/>
          <w:sz w:val="18"/>
          <w:szCs w:val="18"/>
          <w:lang w:eastAsia="en-US"/>
        </w:rPr>
        <w:t>г. Владимир, ул. Офицерская, д. 33-а</w:t>
      </w:r>
    </w:p>
    <w:p>
      <w:pPr>
        <w:pStyle w:val="NormalWeb"/>
        <w:spacing w:before="0" w:after="0"/>
        <w:rPr>
          <w:rFonts w:ascii="Segoe UI" w:hAnsi="Segoe UI" w:eastAsia="Calibri" w:cs="Segoe UI"/>
          <w:sz w:val="18"/>
          <w:szCs w:val="18"/>
          <w:lang w:eastAsia="en-US"/>
        </w:rPr>
      </w:pPr>
      <w:r>
        <w:rPr>
          <w:rFonts w:eastAsia="Calibri" w:cs="Segoe UI" w:ascii="Segoe UI" w:hAnsi="Segoe UI"/>
          <w:sz w:val="18"/>
          <w:szCs w:val="18"/>
          <w:lang w:eastAsia="en-US"/>
        </w:rPr>
        <w:t>Отдел организации, мониторинга и контроля</w:t>
      </w:r>
    </w:p>
    <w:p>
      <w:pPr>
        <w:pStyle w:val="NormalWeb"/>
        <w:spacing w:before="0" w:after="0"/>
        <w:rPr>
          <w:rFonts w:ascii="Segoe UI" w:hAnsi="Segoe UI" w:eastAsia="Calibri" w:cs="Segoe UI"/>
          <w:sz w:val="18"/>
          <w:szCs w:val="18"/>
          <w:lang w:eastAsia="en-US"/>
        </w:rPr>
      </w:pPr>
      <w:r>
        <w:rPr>
          <w:rFonts w:eastAsia="Calibri" w:cs="Segoe UI" w:ascii="Segoe UI" w:hAnsi="Segoe UI"/>
          <w:sz w:val="18"/>
          <w:szCs w:val="18"/>
          <w:lang w:eastAsia="en-US"/>
        </w:rPr>
        <w:t>(4922) 45-08-29</w:t>
      </w:r>
    </w:p>
    <w:p>
      <w:pPr>
        <w:pStyle w:val="NormalWeb"/>
        <w:spacing w:before="0" w:after="0"/>
        <w:rPr>
          <w:rFonts w:ascii="Segoe UI" w:hAnsi="Segoe UI" w:eastAsia="Calibri" w:cs="Segoe UI"/>
          <w:sz w:val="18"/>
          <w:szCs w:val="18"/>
          <w:highlight w:val="none"/>
          <w:lang w:eastAsia="en-US"/>
        </w:rPr>
      </w:pPr>
      <w:r>
        <w:rPr>
          <w:rFonts w:eastAsia="Calibri" w:cs="Segoe UI" w:ascii="Segoe UI" w:hAnsi="Segoe UI"/>
          <w:sz w:val="18"/>
          <w:szCs w:val="18"/>
          <w:lang w:eastAsia="en-US"/>
        </w:rPr>
        <w:t>(4922) 45-08-26</w:t>
      </w:r>
    </w:p>
    <w:p>
      <w:pPr>
        <w:pStyle w:val="NormalWeb"/>
        <w:spacing w:before="0" w:after="0"/>
        <w:rPr>
          <w:rFonts w:ascii="Segoe UI" w:hAnsi="Segoe UI" w:eastAsia="Calibri" w:cs="Segoe UI"/>
          <w:sz w:val="18"/>
          <w:szCs w:val="18"/>
          <w:highlight w:val="none"/>
          <w:lang w:eastAsia="en-US"/>
        </w:rPr>
      </w:pPr>
      <w:r>
        <w:rPr>
          <w:rFonts w:eastAsia="Calibri" w:cs="Segoe UI" w:ascii="Segoe UI" w:hAnsi="Segoe UI"/>
          <w:sz w:val="18"/>
          <w:szCs w:val="18"/>
          <w:lang w:eastAsia="en-US"/>
        </w:rPr>
      </w:r>
    </w:p>
    <w:p>
      <w:pPr>
        <w:pStyle w:val="NormalWeb"/>
        <w:spacing w:before="0" w:after="0"/>
        <w:rPr>
          <w:rFonts w:ascii="Segoe UI" w:hAnsi="Segoe UI" w:eastAsia="Calibri" w:cs="Segoe UI"/>
          <w:sz w:val="18"/>
          <w:szCs w:val="18"/>
          <w:highlight w:val="none"/>
          <w:lang w:eastAsia="en-US"/>
        </w:rPr>
      </w:pPr>
      <w:r>
        <w:rPr>
          <w:rFonts w:eastAsia="Calibri" w:cs="Segoe UI" w:ascii="Segoe UI" w:hAnsi="Segoe UI"/>
          <w:sz w:val="18"/>
          <w:szCs w:val="18"/>
          <w:lang w:eastAsia="en-US"/>
        </w:rPr>
      </w:r>
    </w:p>
    <w:p>
      <w:pPr>
        <w:pStyle w:val="NormalWeb"/>
        <w:spacing w:before="0" w:after="0"/>
        <w:rPr>
          <w:rFonts w:ascii="Segoe UI" w:hAnsi="Segoe UI" w:eastAsia="Calibri" w:cs="Segoe UI"/>
          <w:sz w:val="18"/>
          <w:szCs w:val="18"/>
          <w:highlight w:val="none"/>
          <w:lang w:eastAsia="en-US"/>
        </w:rPr>
      </w:pPr>
      <w:r>
        <w:rPr>
          <w:rFonts w:eastAsia="Calibri" w:cs="Segoe UI" w:ascii="Segoe UI" w:hAnsi="Segoe UI"/>
          <w:sz w:val="18"/>
          <w:szCs w:val="18"/>
          <w:lang w:eastAsia="en-US"/>
        </w:rPr>
      </w:r>
    </w:p>
    <w:p>
      <w:pPr>
        <w:pStyle w:val="Normal"/>
        <w:tabs>
          <w:tab w:val="clear" w:pos="708"/>
          <w:tab w:val="left" w:pos="142" w:leader="none"/>
        </w:tabs>
        <w:spacing w:before="0" w:after="160"/>
        <w:ind w:firstLine="709"/>
        <w:jc w:val="both"/>
        <w:rPr>
          <w:rFonts w:ascii="Segoe UI" w:hAnsi="Segoe UI" w:eastAsia="Calibri" w:cs="Segoe UI"/>
          <w:sz w:val="28"/>
          <w:szCs w:val="28"/>
          <w:highlight w:val="none"/>
          <w:lang w:eastAsia="en-US"/>
        </w:rPr>
      </w:pPr>
      <w:r>
        <w:rPr>
          <w:rFonts w:eastAsia="Calibri" w:cs="Segoe UI" w:ascii="Segoe UI" w:hAnsi="Segoe UI"/>
          <w:sz w:val="28"/>
          <w:szCs w:val="28"/>
          <w:lang w:eastAsia="en-US"/>
        </w:rPr>
      </w:r>
    </w:p>
    <w:sectPr>
      <w:type w:val="nextPage"/>
      <w:pgSz w:w="11906" w:h="16838"/>
      <w:pgMar w:left="1701" w:right="850" w:gutter="0" w:header="0" w:top="1134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 Light">
    <w:charset w:val="01"/>
    <w:family w:val="roman"/>
    <w:pitch w:val="default"/>
  </w:font>
  <w:font w:name="Arial">
    <w:charset w:val="01"/>
    <w:family w:val="roman"/>
    <w:pitch w:val="default"/>
  </w:font>
  <w:font w:name="Segoe U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Arial" w:cs="Arial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Style6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7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Style8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Текст выноски Знак"/>
    <w:basedOn w:val="DefaultParagraphFont"/>
    <w:uiPriority w:val="99"/>
    <w:semiHidden/>
    <w:qFormat/>
    <w:rPr>
      <w:rFonts w:ascii="Segoe UI" w:hAnsi="Segoe UI" w:cs="Segoe UI"/>
      <w:sz w:val="18"/>
      <w:szCs w:val="18"/>
    </w:rPr>
  </w:style>
  <w:style w:type="character" w:styleId="11" w:customStyle="1">
    <w:name w:val="Заголовок 1 Знак"/>
    <w:basedOn w:val="DefaultParagraphFont"/>
    <w:uiPriority w:val="9"/>
    <w:qFormat/>
    <w:rPr>
      <w:rFonts w:ascii="Calibri Light" w:hAnsi="Calibri Light" w:eastAsia="Arial" w:cs="Arial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-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Style10" w:customStyle="1">
    <w:name w:val="Текст примечания Знак"/>
    <w:basedOn w:val="DefaultParagraphFont"/>
    <w:uiPriority w:val="99"/>
    <w:semiHidden/>
    <w:qFormat/>
    <w:rPr>
      <w:sz w:val="20"/>
      <w:szCs w:val="20"/>
    </w:rPr>
  </w:style>
  <w:style w:type="character" w:styleId="Style11" w:customStyle="1">
    <w:name w:val="Тема примечания Знак"/>
    <w:basedOn w:val="Style10"/>
    <w:uiPriority w:val="99"/>
    <w:semiHidden/>
    <w:qFormat/>
    <w:rPr>
      <w:b/>
      <w:bCs/>
      <w:sz w:val="20"/>
      <w:szCs w:val="20"/>
    </w:rPr>
  </w:style>
  <w:style w:type="character" w:styleId="31" w:customStyle="1">
    <w:name w:val="Основной текст с отступом 3 Знак"/>
    <w:basedOn w:val="DefaultParagraphFont"/>
    <w:uiPriority w:val="99"/>
    <w:qFormat/>
    <w:rPr>
      <w:rFonts w:ascii="Times New Roman" w:hAnsi="Times New Roman" w:eastAsia="Arial Unicode MS" w:cs="Mangal"/>
      <w:sz w:val="16"/>
      <w:szCs w:val="14"/>
      <w:lang w:eastAsia="hi-IN" w:bidi="hi-IN"/>
    </w:rPr>
  </w:style>
  <w:style w:type="character" w:styleId="ConsPlusNormal" w:customStyle="1">
    <w:name w:val="ConsPlusNormal Знак"/>
    <w:qFormat/>
    <w:rPr>
      <w:rFonts w:ascii="Arial" w:hAnsi="Arial" w:cs="Arial"/>
      <w:sz w:val="20"/>
      <w:szCs w:val="20"/>
    </w:rPr>
  </w:style>
  <w:style w:type="character" w:styleId="BodyText2" w:customStyle="1">
    <w:name w:val="Body Text 2 Знак"/>
    <w:qFormat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ascii="PT Astra Serif" w:hAnsi="PT Astra Serif" w:cs="Noto Sans Devanagari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7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18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21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22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23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2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21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32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41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Style24">
    <w:name w:val="Index Heading"/>
    <w:basedOn w:val="Style12"/>
    <w:pPr/>
    <w:rPr/>
  </w:style>
  <w:style w:type="paragraph" w:styleId="Style25">
    <w:name w:val="TOC Heading"/>
    <w:uiPriority w:val="39"/>
    <w:unhideWhenUsed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BalloonText">
    <w:name w:val="Balloon Text"/>
    <w:basedOn w:val="Normal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ListParagraph">
    <w:name w:val="List Paragraph"/>
    <w:basedOn w:val="Normal"/>
    <w:uiPriority w:val="34"/>
    <w:qFormat/>
    <w:pPr>
      <w:spacing w:lineRule="auto" w:line="252" w:before="0" w:after="160"/>
      <w:ind w:left="720" w:hanging="0"/>
      <w:contextualSpacing/>
    </w:pPr>
    <w:rPr/>
  </w:style>
  <w:style w:type="paragraph" w:styleId="Annotationtext">
    <w:name w:val="annotation text"/>
    <w:basedOn w:val="Normal"/>
    <w:uiPriority w:val="99"/>
    <w:semiHidden/>
    <w:unhideWhenUsed/>
    <w:qFormat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pPr/>
    <w:rPr>
      <w:b/>
      <w:bCs/>
    </w:rPr>
  </w:style>
  <w:style w:type="paragraph" w:styleId="NormalWeb">
    <w:name w:val="Normal (Web)"/>
    <w:basedOn w:val="Normal"/>
    <w:uiPriority w:val="99"/>
    <w:unhideWhenUsed/>
    <w:qFormat/>
    <w:pPr>
      <w:spacing w:lineRule="auto" w:line="240" w:before="0" w:after="96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uiPriority w:val="99"/>
    <w:unhideWhenUsed/>
    <w:qFormat/>
    <w:pPr>
      <w:widowControl w:val="false"/>
      <w:spacing w:lineRule="auto" w:line="240" w:before="0" w:after="120"/>
      <w:ind w:left="283" w:hanging="0"/>
    </w:pPr>
    <w:rPr>
      <w:rFonts w:ascii="Times New Roman" w:hAnsi="Times New Roman" w:eastAsia="Arial Unicode MS" w:cs="Mangal"/>
      <w:sz w:val="16"/>
      <w:szCs w:val="14"/>
      <w:lang w:eastAsia="hi-IN" w:bidi="hi-IN"/>
    </w:rPr>
  </w:style>
  <w:style w:type="paragraph" w:styleId="ConsPlusNormal1" w:customStyle="1">
    <w:name w:val="ConsPlusNormal"/>
    <w:qFormat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 w:eastAsiaTheme="minorHAnsi"/>
      <w:color w:val="auto"/>
      <w:kern w:val="0"/>
      <w:sz w:val="20"/>
      <w:szCs w:val="20"/>
      <w:lang w:val="ru-RU" w:eastAsia="en-US" w:bidi="ar-SA"/>
    </w:rPr>
  </w:style>
  <w:style w:type="paragraph" w:styleId="211" w:customStyle="1">
    <w:name w:val="Основной текст 21"/>
    <w:basedOn w:val="Normal"/>
    <w:qFormat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styleId="48">
    <w:name w:val="Table Grid"/>
    <w:basedOn w:val="3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lastRow">
      <w:rPr>
        <w:b/>
        <w:caps/>
        <w:color w:val="404040"/>
      </w:rPr>
      <w:tblPr/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DEBF6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DEBF6" w:themeFill="accen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DEBF6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DEBF6" w:themeFill="accen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FEBF6" w:themeFill="accent1" w:themeFillTint="32"/>
      </w:tcPr>
    </w:tblStylePr>
    <w:tblStylePr w:type="band1Vert">
      <w:rPr>
        <w:color w:val="404040"/>
        <w:sz w:val="22"/>
      </w:rPr>
      <w:tblPr/>
      <w:tcPr>
        <w:shd w:val="clear" w:color="FFFFFF" w:fill="DFEBF6" w:themeFill="accent1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67A4D8" w:themeFill="accent1" w:themeFillTint="e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F4B185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A5A5A5" w:themeFill="accent3" w:themeFillTint="fe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FFD864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472C4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70AD47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B4D2EB" w:themeFill="accent1" w:themeFillTint="75"/>
      </w:tcPr>
    </w:tblStylePr>
    <w:tblStylePr w:type="band1Vert">
      <w:tblPr/>
      <w:tcPr>
        <w:shd w:val="clear" w:color="FFFFFF" w:fill="B4D2EB" w:themeFill="accent1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5B9BD5" w:themeFill="accent1"/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6C3A1" w:themeFill="accent2" w:themeFillTint="75"/>
      </w:tcPr>
    </w:tblStylePr>
    <w:tblStylePr w:type="band1Vert">
      <w:tblPr/>
      <w:tcPr>
        <w:shd w:val="clear" w:color="FFFFFF" w:fill="F6C3A1" w:themeFill="accent2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ED7D31" w:themeFill="accent2"/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6D6D6" w:themeFill="accent3" w:themeFillTint="75"/>
      </w:tcPr>
    </w:tblStylePr>
    <w:tblStylePr w:type="band1Vert">
      <w:tblPr/>
      <w:tcPr>
        <w:shd w:val="clear" w:color="FFFFFF" w:fill="D6D6D6" w:themeFill="accent3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A5A5A5" w:themeFill="accent3"/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EE189" w:themeFill="accent4" w:themeFillTint="75"/>
      </w:tcPr>
    </w:tblStylePr>
    <w:tblStylePr w:type="band1Vert">
      <w:tblPr/>
      <w:tcPr>
        <w:shd w:val="clear" w:color="FFFFFF" w:fill="FEE189" w:themeFill="accent4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FFC000" w:themeFill="accent4"/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ABFE3" w:themeFill="accent5" w:themeFillTint="75"/>
      </w:tcPr>
    </w:tblStylePr>
    <w:tblStylePr w:type="band1Vert">
      <w:tblPr/>
      <w:tcPr>
        <w:shd w:val="clear" w:color="FFFFFF" w:fill="AABFE3" w:themeFill="accent5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firstRow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4472C4" w:themeFill="accent5"/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BEDBA8" w:themeFill="accent6" w:themeFillTint="75"/>
      </w:tcPr>
    </w:tblStylePr>
    <w:tblStylePr w:type="band1Vert">
      <w:tblPr/>
      <w:tcPr>
        <w:shd w:val="clear" w:color="FFFFFF" w:fill="BEDBA8" w:themeFill="accent6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70AD47" w:themeFill="accent6"/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  <w:tblPr/>
    </w:tblStylePr>
    <w:tblStylePr w:type="firstCol">
      <w:rPr>
        <w:b/>
        <w:color w:val="4A4A4A" w:themeColor="text1" w:themeTint="80" w:themeShade="95"/>
      </w:rPr>
      <w:tblPr/>
    </w:tblStylePr>
    <w:tblStylePr w:type="firstRow">
      <w:rPr>
        <w:b/>
        <w:color w:val="4A4A4A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tblPr/>
    </w:tblStylePr>
    <w:tblStylePr w:type="lastRow">
      <w:rPr>
        <w:b/>
        <w:color w:val="4A4A4A" w:themeColor="text1" w:themeTint="80" w:themeShade="95"/>
      </w:rPr>
      <w:tblPr/>
    </w:tblStylePr>
    <w:tblStylePr w:type="wholeTable">
      <w:rPr>
        <w:color w:val="404040" w:themeColor="text1" w:themeTint="80" w:themeShade="95"/>
        <w:sz w:val="22"/>
      </w:rPr>
      <w:tblPr/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blPr/>
      <w:tcPr>
        <w:shd w:val="clear" w:color="FFFFFF" w:fill="DDEBF6" w:themeFill="accent1" w:themeFillTint="34"/>
      </w:tcPr>
    </w:tblStylePr>
    <w:tblStylePr w:type="band1Vert">
      <w:tblPr/>
      <w:tcPr>
        <w:shd w:val="clear" w:color="FFFFFF" w:fill="DDEBF6" w:themeFill="accent1" w:themeFillTint="34"/>
      </w:tcPr>
    </w:tblStylePr>
    <w:tblStylePr w:type="band2Horz">
      <w:rPr>
        <w:color w:val="404040" w:themeColor="accent1" w:themeTint="80" w:themeShade="95"/>
        <w:sz w:val="22"/>
      </w:rPr>
      <w:tblPr/>
    </w:tblStylePr>
    <w:tblStylePr w:type="firstCol">
      <w:rPr>
        <w:b/>
        <w:color w:val="317BBA" w:themeColor="accent1" w:themeTint="80" w:themeShade="95"/>
      </w:rPr>
      <w:tblPr/>
    </w:tblStylePr>
    <w:tblStylePr w:type="firstRow">
      <w:rPr>
        <w:b/>
        <w:color w:val="317BBA"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17BBA" w:themeColor="accent1" w:themeTint="80" w:themeShade="95"/>
      </w:rPr>
      <w:tblPr/>
    </w:tblStylePr>
    <w:tblStylePr w:type="lastRow">
      <w:rPr>
        <w:b/>
        <w:color w:val="317BBA" w:themeColor="accent1" w:themeTint="80" w:themeShade="95"/>
      </w:rPr>
      <w:tblPr/>
    </w:tblStylePr>
    <w:tblStylePr w:type="wholeTable">
      <w:rPr>
        <w:color w:val="404040" w:themeColor="accent1" w:themeTint="80" w:themeShade="95"/>
        <w:sz w:val="22"/>
      </w:rPr>
      <w:tblPr/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C95712" w:themeColor="accent2" w:themeTint="97" w:themeShade="95"/>
      </w:rPr>
      <w:tblPr/>
    </w:tblStylePr>
    <w:tblStylePr w:type="firstRow">
      <w:rPr>
        <w:b/>
        <w:color w:val="C95712"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C95712" w:themeColor="accent2" w:themeTint="97" w:themeShade="95"/>
      </w:rPr>
      <w:tblPr/>
    </w:tblStylePr>
    <w:tblStylePr w:type="lastRow">
      <w:rPr>
        <w:b/>
        <w:color w:val="C95712" w:themeColor="accent2" w:themeTint="97" w:themeShade="95"/>
      </w:rPr>
      <w:tblPr/>
    </w:tblStylePr>
    <w:tblStylePr w:type="wholeTable">
      <w:rPr>
        <w:color w:val="404040" w:themeColor="accent2" w:themeTint="97" w:themeShade="95"/>
        <w:sz w:val="22"/>
      </w:rPr>
      <w:tblPr/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blPr/>
      <w:tcPr>
        <w:shd w:val="clear" w:color="FFFFFF" w:fill="EDEDED" w:themeFill="accent3" w:themeFillTint="34"/>
      </w:tcPr>
    </w:tblStylePr>
    <w:tblStylePr w:type="band1Vert">
      <w:tblPr/>
      <w:tcPr>
        <w:shd w:val="clear" w:color="FFFFFF" w:fill="EDEDED" w:themeFill="accent3" w:themeFillTint="34"/>
      </w:tcPr>
    </w:tblStylePr>
    <w:tblStylePr w:type="band2Horz">
      <w:rPr>
        <w:color w:val="404040" w:themeColor="accent3" w:themeTint="fe" w:themeShade="95"/>
        <w:sz w:val="22"/>
      </w:rPr>
      <w:tblPr/>
    </w:tblStylePr>
    <w:tblStylePr w:type="firstCol">
      <w:rPr>
        <w:b/>
        <w:color w:val="606060" w:themeColor="accent3" w:themeTint="fe" w:themeShade="95"/>
      </w:rPr>
      <w:tblPr/>
    </w:tblStylePr>
    <w:tblStylePr w:type="firstRow">
      <w:rPr>
        <w:b/>
        <w:color w:val="606060"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606060" w:themeColor="accent3" w:themeTint="fe" w:themeShade="95"/>
      </w:rPr>
      <w:tblPr/>
    </w:tblStylePr>
    <w:tblStylePr w:type="lastRow">
      <w:rPr>
        <w:b/>
        <w:color w:val="606060" w:themeColor="accent3" w:themeTint="fe" w:themeShade="95"/>
      </w:rPr>
      <w:tblPr/>
    </w:tblStylePr>
    <w:tblStylePr w:type="wholeTable">
      <w:rPr>
        <w:color w:val="404040" w:themeColor="accent3" w:themeTint="fe" w:themeShade="95"/>
        <w:sz w:val="22"/>
      </w:rPr>
      <w:tblPr/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FEF2CB" w:themeFill="accent4" w:themeFillTint="34"/>
      </w:tcPr>
    </w:tblStylePr>
    <w:tblStylePr w:type="band1Vert">
      <w:tblPr/>
      <w:tcPr>
        <w:shd w:val="clear" w:color="FFFFFF" w:fill="FEF2CB" w:themeFill="accent4" w:themeFillTint="34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CD9600" w:themeColor="accent4" w:themeTint="9a" w:themeShade="95"/>
      </w:rPr>
      <w:tblPr/>
    </w:tblStylePr>
    <w:tblStylePr w:type="firstRow">
      <w:rPr>
        <w:b/>
        <w:color w:val="CD9600"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CD9600" w:themeColor="accent4" w:themeTint="9a" w:themeShade="95"/>
      </w:rPr>
      <w:tblPr/>
    </w:tblStylePr>
    <w:tblStylePr w:type="lastRow">
      <w:rPr>
        <w:b/>
        <w:color w:val="CD9600" w:themeColor="accent4" w:themeTint="9a" w:themeShade="95"/>
      </w:rPr>
      <w:tblPr/>
    </w:tblStylePr>
    <w:tblStylePr w:type="wholeTable">
      <w:rPr>
        <w:color w:val="404040" w:themeColor="accent4" w:themeTint="9a" w:themeShade="95"/>
        <w:sz w:val="22"/>
      </w:rPr>
      <w:tblPr/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D9E2F2" w:themeFill="accent5" w:themeFillTint="34"/>
      </w:tcPr>
    </w:tblStylePr>
    <w:tblStylePr w:type="band1Vert">
      <w:tblPr/>
      <w:tcPr>
        <w:shd w:val="clear" w:color="FFFFFF" w:fill="D9E2F2" w:themeFill="accent5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254374" w:themeColor="accent5" w:themeShade="95"/>
      </w:rPr>
      <w:tblPr/>
    </w:tblStylePr>
    <w:tblStylePr w:type="firstRow">
      <w:rPr>
        <w:b/>
        <w:color w:val="254374"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tblPr/>
    </w:tblStylePr>
    <w:tblStylePr w:type="lastRow">
      <w:rPr>
        <w:b/>
        <w:color w:val="254374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E2EFD8" w:themeFill="accent6" w:themeFillTint="34"/>
      </w:tcPr>
    </w:tblStylePr>
    <w:tblStylePr w:type="band1Vert">
      <w:tblPr/>
      <w:tcPr>
        <w:shd w:val="clear" w:color="FFFFFF" w:fill="E2EFD8" w:themeFill="accent6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254374" w:themeColor="accent5" w:themeShade="95"/>
      </w:rPr>
      <w:tblPr/>
    </w:tblStylePr>
    <w:tblStylePr w:type="firstRow">
      <w:rPr>
        <w:b/>
        <w:color w:val="254374"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tblPr/>
    </w:tblStylePr>
    <w:tblStylePr w:type="lastRow">
      <w:rPr>
        <w:b/>
        <w:color w:val="254374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b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b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17BBA" w:themeColor="accent1" w:themeTint="80" w:themeShade="95"/>
        <w:sz w:val="22"/>
      </w:rPr>
      <w:tblPr/>
      <w:tcPr>
        <w:shd w:val="clear" w:color="FFFFFF" w:fill="DDEBF6" w:themeFill="accent1" w:themeFillTint="34"/>
      </w:tcPr>
    </w:tblStylePr>
    <w:tblStylePr w:type="band1Vert">
      <w:tblPr/>
      <w:tcPr>
        <w:shd w:val="clear" w:color="FFFFFF" w:fill="DDEBF6" w:themeFill="accent1" w:themeFillTint="34"/>
      </w:tcPr>
    </w:tblStylePr>
    <w:tblStylePr w:type="band2Horz">
      <w:rPr>
        <w:color w:val="317BBA"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val="317BBA" w:themeColor="accen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b/>
        <w:color w:val="317BBA" w:themeColor="accent1" w:themeTint="80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317BBA" w:themeColor="accent1" w:themeTint="80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b/>
        <w:color w:val="317BBA"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2Horz">
      <w:rPr>
        <w:color w:val="C95712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C95712"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b/>
        <w:color w:val="C95712"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C95712"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b/>
        <w:color w:val="C95712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606060" w:themeColor="accent3" w:themeTint="fe" w:themeShade="95"/>
        <w:sz w:val="22"/>
      </w:rPr>
      <w:tblPr/>
      <w:tcPr>
        <w:shd w:val="clear" w:color="FFFFFF" w:fill="EDEDED" w:themeFill="accent3" w:themeFillTint="34"/>
      </w:tcPr>
    </w:tblStylePr>
    <w:tblStylePr w:type="band1Vert">
      <w:tblPr/>
      <w:tcPr>
        <w:shd w:val="clear" w:color="FFFFFF" w:fill="EDEDED" w:themeFill="accent3" w:themeFillTint="34"/>
      </w:tcPr>
    </w:tblStylePr>
    <w:tblStylePr w:type="band2Horz">
      <w:rPr>
        <w:color w:val="606060"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val="606060" w:themeColor="accent3" w:themeTint="fe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b/>
        <w:color w:val="606060" w:themeColor="accent3" w:themeTint="fe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606060" w:themeColor="accent3" w:themeTint="fe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b/>
        <w:color w:val="606060"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blPr/>
      <w:tcPr>
        <w:shd w:val="clear" w:color="FFFFFF" w:fill="FEF2CB" w:themeFill="accent4" w:themeFillTint="34"/>
      </w:tcPr>
    </w:tblStylePr>
    <w:tblStylePr w:type="band1Vert">
      <w:tblPr/>
      <w:tcPr>
        <w:shd w:val="clear" w:color="FFFFFF" w:fill="FEF2CB" w:themeFill="accent4" w:themeFillTint="34"/>
      </w:tcPr>
    </w:tblStylePr>
    <w:tblStylePr w:type="band2Horz">
      <w:rPr>
        <w:color w:val="CD9600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CD9600"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b/>
        <w:color w:val="CD9600"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CD9600"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b/>
        <w:color w:val="CD9600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54374" w:themeColor="accent5" w:themeShade="95"/>
        <w:sz w:val="22"/>
      </w:rPr>
      <w:tblPr/>
      <w:tcPr>
        <w:shd w:val="clear" w:color="FFFFFF" w:fill="D9E2F2" w:themeFill="accent5" w:themeFillTint="34"/>
      </w:tcPr>
    </w:tblStylePr>
    <w:tblStylePr w:type="band1Vert">
      <w:tblPr/>
      <w:tcPr>
        <w:shd w:val="clear" w:color="FFFFFF" w:fill="D9E2F2" w:themeFill="accent5" w:themeFillTint="34"/>
      </w:tcPr>
    </w:tblStylePr>
    <w:tblStylePr w:type="band2Horz">
      <w:rPr>
        <w:color w:val="254374" w:themeColor="accent5" w:themeShade="95"/>
        <w:sz w:val="22"/>
      </w:rPr>
      <w:tblPr/>
    </w:tblStylePr>
    <w:tblStylePr w:type="firstCol">
      <w:pPr>
        <w:jc w:val="right"/>
      </w:pPr>
      <w:rPr>
        <w:i/>
        <w:color w:val="254374" w:themeColor="accent5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b/>
        <w:color w:val="254374" w:themeColor="accent5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254374" w:themeColor="accent5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b/>
        <w:color w:val="254374" w:themeColor="accent5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26429" w:themeColor="accent6" w:themeShade="95"/>
        <w:sz w:val="22"/>
      </w:rPr>
      <w:tblPr/>
      <w:tcPr>
        <w:shd w:val="clear" w:color="FFFFFF" w:fill="E2EFD8" w:themeFill="accent6" w:themeFillTint="34"/>
      </w:tcPr>
    </w:tblStylePr>
    <w:tblStylePr w:type="band1Vert">
      <w:tblPr/>
      <w:tcPr>
        <w:shd w:val="clear" w:color="FFFFFF" w:fill="E2EFD8" w:themeFill="accent6" w:themeFillTint="34"/>
      </w:tcPr>
    </w:tblStylePr>
    <w:tblStylePr w:type="band2Horz">
      <w:rPr>
        <w:color w:val="426429" w:themeColor="accent6" w:themeShade="95"/>
        <w:sz w:val="22"/>
      </w:rPr>
      <w:tblPr/>
    </w:tblStylePr>
    <w:tblStylePr w:type="firstCol">
      <w:pPr>
        <w:jc w:val="right"/>
      </w:pPr>
      <w:rPr>
        <w:i/>
        <w:color w:val="426429" w:themeColor="accent6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b/>
        <w:color w:val="426429" w:themeColor="accent6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426429" w:themeColor="accent6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b/>
        <w:color w:val="426429" w:themeColor="accent6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5E6F4" w:themeFill="accent1" w:themeFillTint="40"/>
      </w:tcPr>
    </w:tblStylePr>
    <w:tblStylePr w:type="band1Vert">
      <w:tblPr/>
      <w:tcPr>
        <w:shd w:val="clear" w:color="FFFFFF" w:fill="D5E6F4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CFDCF0" w:themeFill="accent5" w:themeFillTint="40"/>
      </w:tcPr>
    </w:tblStylePr>
    <w:tblStylePr w:type="band1Vert">
      <w:tblPr/>
      <w:tcPr>
        <w:shd w:val="clear" w:color="FFFFFF" w:fill="CFDCF0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BEBD0" w:themeFill="accent6" w:themeFillTint="40"/>
      </w:tcPr>
    </w:tblStylePr>
    <w:tblStylePr w:type="band1Vert">
      <w:tblPr/>
      <w:tcPr>
        <w:shd w:val="clear" w:color="FFFFFF" w:fill="DBEBD0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5E6F4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D5E6F4" w:themeFill="accen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CFDCF0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CFDCF0" w:themeFill="accent5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BEBD0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DBEBD0" w:themeFill="accent6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4B185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FD864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8EABDB" w:themeFill="accent5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AAD08F" w:themeFill="accent6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5E6F4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D5E6F4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CFDCF0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CFDCF0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BEBD0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DBEBD0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5B9BD5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5B9BD5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5B9BD5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5B9BD5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4B185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4B185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4B185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F4B185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9C9C9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9C9C9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864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FD864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864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FFD864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8EABDB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8EABDB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8EABDB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8EABDB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AAD08F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AAD08F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AAD08F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AAD08F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  <w:tblPr/>
    </w:tblStylePr>
    <w:tblStylePr w:type="firstCol">
      <w:rPr>
        <w:b/>
        <w:color w:val="000000" w:themeColor="text1"/>
      </w:rPr>
      <w:tblPr/>
    </w:tblStyle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tblPr/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blPr/>
      <w:tcPr>
        <w:shd w:val="clear" w:color="FFFFFF" w:fill="D5E6F4" w:themeFill="accent1" w:themeFillTint="40"/>
      </w:tcPr>
    </w:tblStylePr>
    <w:tblStylePr w:type="band1Vert">
      <w:tblPr/>
      <w:tcPr>
        <w:shd w:val="clear" w:color="FFFFFF" w:fill="D5E6F4" w:themeFill="accent1" w:themeFillTint="40"/>
      </w:tcPr>
    </w:tblStylePr>
    <w:tblStylePr w:type="band2Horz">
      <w:rPr>
        <w:color w:val="404040" w:themeColor="accent1" w:themeShade="95"/>
        <w:sz w:val="22"/>
      </w:rPr>
      <w:tblPr/>
    </w:tblStylePr>
    <w:tblStylePr w:type="firstCol">
      <w:rPr>
        <w:b/>
        <w:color w:val="245D8D" w:themeColor="accent1" w:themeShade="95"/>
      </w:rPr>
      <w:tblPr/>
    </w:tblStylePr>
    <w:tblStylePr w:type="firstRow">
      <w:rPr>
        <w:b/>
        <w:color w:val="245D8D"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tblPr/>
    </w:tblStylePr>
    <w:tblStylePr w:type="lastRow">
      <w:rPr>
        <w:b/>
        <w:color w:val="245D8D"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C95712" w:themeColor="accent2" w:themeTint="97" w:themeShade="95"/>
      </w:rPr>
      <w:tblPr/>
    </w:tblStylePr>
    <w:tblStylePr w:type="firstRow">
      <w:rPr>
        <w:b/>
        <w:color w:val="C95712"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C95712" w:themeColor="accent2" w:themeTint="97" w:themeShade="95"/>
      </w:rPr>
      <w:tblPr/>
    </w:tblStylePr>
    <w:tblStylePr w:type="lastRow">
      <w:rPr>
        <w:b/>
        <w:color w:val="C95712"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2Horz">
      <w:rPr>
        <w:color w:val="404040" w:themeColor="accent3" w:themeTint="98" w:themeShade="95"/>
        <w:sz w:val="22"/>
      </w:rPr>
      <w:tblPr/>
    </w:tblStylePr>
    <w:tblStylePr w:type="firstCol">
      <w:rPr>
        <w:b/>
        <w:color w:val="757575" w:themeColor="accent3" w:themeTint="98" w:themeShade="95"/>
      </w:rPr>
      <w:tblPr/>
    </w:tblStylePr>
    <w:tblStylePr w:type="firstRow">
      <w:rPr>
        <w:b/>
        <w:color w:val="757575"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57575" w:themeColor="accent3" w:themeTint="98" w:themeShade="95"/>
      </w:rPr>
      <w:tblPr/>
    </w:tblStylePr>
    <w:tblStylePr w:type="lastRow">
      <w:rPr>
        <w:b/>
        <w:color w:val="757575"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CD9600" w:themeColor="accent4" w:themeTint="9a" w:themeShade="95"/>
      </w:rPr>
      <w:tblPr/>
    </w:tblStylePr>
    <w:tblStylePr w:type="firstRow">
      <w:rPr>
        <w:b/>
        <w:color w:val="CD9600"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CD9600" w:themeColor="accent4" w:themeTint="9a" w:themeShade="95"/>
      </w:rPr>
      <w:tblPr/>
    </w:tblStylePr>
    <w:tblStylePr w:type="lastRow">
      <w:rPr>
        <w:b/>
        <w:color w:val="CD9600"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blPr/>
      <w:tcPr>
        <w:shd w:val="clear" w:color="FFFFFF" w:fill="CFDCF0" w:themeFill="accent5" w:themeFillTint="40"/>
      </w:tcPr>
    </w:tblStylePr>
    <w:tblStylePr w:type="band1Vert">
      <w:tblPr/>
      <w:tcPr>
        <w:shd w:val="clear" w:color="FFFFFF" w:fill="CFDCF0" w:themeFill="accent5" w:themeFillTint="40"/>
      </w:tcPr>
    </w:tblStylePr>
    <w:tblStylePr w:type="band2Horz">
      <w:rPr>
        <w:color w:val="404040" w:themeColor="accent5" w:themeTint="9a" w:themeShade="95"/>
        <w:sz w:val="22"/>
      </w:rPr>
      <w:tblPr/>
    </w:tblStylePr>
    <w:tblStylePr w:type="firstCol">
      <w:rPr>
        <w:b/>
        <w:color w:val="335E9E" w:themeColor="accent5" w:themeTint="9a" w:themeShade="95"/>
      </w:rPr>
      <w:tblPr/>
    </w:tblStylePr>
    <w:tblStylePr w:type="firstRow">
      <w:rPr>
        <w:b/>
        <w:color w:val="335E9E"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5E9E" w:themeColor="accent5" w:themeTint="9a" w:themeShade="95"/>
      </w:rPr>
      <w:tblPr/>
    </w:tblStylePr>
    <w:tblStylePr w:type="lastRow">
      <w:rPr>
        <w:b/>
        <w:color w:val="335E9E"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blPr/>
      <w:tcPr>
        <w:shd w:val="clear" w:color="FFFFFF" w:fill="DBEBD0" w:themeFill="accent6" w:themeFillTint="40"/>
      </w:tcPr>
    </w:tblStylePr>
    <w:tblStylePr w:type="band1Vert">
      <w:tblPr/>
      <w:tcPr>
        <w:shd w:val="clear" w:color="FFFFFF" w:fill="DBEBD0" w:themeFill="accent6" w:themeFillTint="40"/>
      </w:tcPr>
    </w:tblStylePr>
    <w:tblStylePr w:type="band2Horz">
      <w:rPr>
        <w:color w:val="404040" w:themeColor="accent6" w:themeTint="98" w:themeShade="95"/>
        <w:sz w:val="22"/>
      </w:rPr>
      <w:tblPr/>
    </w:tblStylePr>
    <w:tblStylePr w:type="firstCol">
      <w:rPr>
        <w:b/>
        <w:color w:val="5F8F3C" w:themeColor="accent6" w:themeTint="98" w:themeShade="95"/>
      </w:rPr>
      <w:tblPr/>
    </w:tblStylePr>
    <w:tblStylePr w:type="firstRow">
      <w:rPr>
        <w:b/>
        <w:color w:val="5F8F3C"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5F8F3C" w:themeColor="accent6" w:themeTint="98" w:themeShade="95"/>
      </w:rPr>
      <w:tblPr/>
    </w:tblStylePr>
    <w:tblStylePr w:type="lastRow">
      <w:rPr>
        <w:b/>
        <w:color w:val="5F8F3C"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i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4A4A4A" w:themeColor="text1" w:themeTint="80" w:themeShade="95"/>
        <w:sz w:val="22"/>
      </w:rPr>
      <w:tblPr/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45D8D" w:themeColor="accent1" w:themeShade="95"/>
        <w:sz w:val="22"/>
      </w:rPr>
      <w:tblPr/>
      <w:tcPr>
        <w:shd w:val="clear" w:color="FFFFFF" w:fill="D5E6F4" w:themeFill="accent1" w:themeFillTint="40"/>
      </w:tcPr>
    </w:tblStylePr>
    <w:tblStylePr w:type="band1Vert">
      <w:tblPr/>
      <w:tcPr>
        <w:shd w:val="clear" w:color="FFFFFF" w:fill="D5E6F4" w:themeFill="accent1" w:themeFillTint="40"/>
      </w:tcPr>
    </w:tblStylePr>
    <w:tblStylePr w:type="band2Horz">
      <w:rPr>
        <w:color w:val="245D8D" w:themeColor="accent1" w:themeShade="95"/>
        <w:sz w:val="22"/>
      </w:rPr>
      <w:tblPr/>
    </w:tblStylePr>
    <w:tblStylePr w:type="firstCol">
      <w:pPr>
        <w:jc w:val="right"/>
      </w:pPr>
      <w:rPr>
        <w:i/>
        <w:color w:val="245D8D" w:themeColor="accent1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i/>
        <w:color w:val="245D8D" w:themeColor="accent1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245D8D" w:themeColor="accent1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i/>
        <w:color w:val="245D8D" w:themeColor="accent1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245D8D" w:themeColor="accent1" w:themeShade="95"/>
        <w:sz w:val="22"/>
      </w:rPr>
      <w:tblPr/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2Horz">
      <w:rPr>
        <w:color w:val="C95712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C95712"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i/>
        <w:color w:val="C95712"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C95712"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i/>
        <w:color w:val="C95712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C95712" w:themeColor="accent2" w:themeTint="97" w:themeShade="95"/>
        <w:sz w:val="22"/>
      </w:rPr>
      <w:tblPr/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57575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2Horz">
      <w:rPr>
        <w:color w:val="757575"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val="757575" w:themeColor="accent3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i/>
        <w:color w:val="757575" w:themeColor="accent3" w:themeTint="98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757575" w:themeColor="accent3" w:themeTint="98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i/>
        <w:color w:val="757575"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757575" w:themeColor="accent3" w:themeTint="98" w:themeShade="95"/>
        <w:sz w:val="22"/>
      </w:rPr>
      <w:tblPr/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2Horz">
      <w:rPr>
        <w:color w:val="CD9600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CD9600"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i/>
        <w:color w:val="CD9600"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CD9600"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i/>
        <w:color w:val="CD9600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CD9600" w:themeColor="accent4" w:themeTint="9a" w:themeShade="95"/>
        <w:sz w:val="22"/>
      </w:rPr>
      <w:tblPr/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5E9E" w:themeColor="accent5" w:themeTint="9a" w:themeShade="95"/>
        <w:sz w:val="22"/>
      </w:rPr>
      <w:tblPr/>
      <w:tcPr>
        <w:shd w:val="clear" w:color="FFFFFF" w:fill="CFDCF0" w:themeFill="accent5" w:themeFillTint="40"/>
      </w:tcPr>
    </w:tblStylePr>
    <w:tblStylePr w:type="band1Vert">
      <w:tblPr/>
      <w:tcPr>
        <w:shd w:val="clear" w:color="FFFFFF" w:fill="CFDCF0" w:themeFill="accent5" w:themeFillTint="40"/>
      </w:tcPr>
    </w:tblStylePr>
    <w:tblStylePr w:type="band2Horz">
      <w:rPr>
        <w:color w:val="335E9E"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val="335E9E" w:themeColor="accent5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i/>
        <w:color w:val="335E9E" w:themeColor="accent5" w:themeTint="9a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335E9E" w:themeColor="accent5" w:themeTint="9a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i/>
        <w:color w:val="335E9E"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335E9E" w:themeColor="accent5" w:themeTint="9a" w:themeShade="95"/>
        <w:sz w:val="22"/>
      </w:rPr>
      <w:tblPr/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5F8F3C" w:themeColor="accent6" w:themeTint="98" w:themeShade="95"/>
        <w:sz w:val="22"/>
      </w:rPr>
      <w:tblPr/>
      <w:tcPr>
        <w:shd w:val="clear" w:color="FFFFFF" w:fill="DBEBD0" w:themeFill="accent6" w:themeFillTint="40"/>
      </w:tcPr>
    </w:tblStylePr>
    <w:tblStylePr w:type="band1Vert">
      <w:tblPr/>
      <w:tcPr>
        <w:shd w:val="clear" w:color="FFFFFF" w:fill="DBEBD0" w:themeFill="accent6" w:themeFillTint="40"/>
      </w:tcPr>
    </w:tblStylePr>
    <w:tblStylePr w:type="band2Horz">
      <w:rPr>
        <w:color w:val="5F8F3C"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val="5F8F3C" w:themeColor="accent6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i/>
        <w:color w:val="5F8F3C" w:themeColor="accent6" w:themeTint="98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5F8F3C" w:themeColor="accent6" w:themeTint="98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i/>
        <w:color w:val="5F8F3C"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5F8F3C" w:themeColor="accent6" w:themeTint="98" w:themeShade="95"/>
        <w:sz w:val="22"/>
      </w:rPr>
      <w:tblPr/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CE0F1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CE0F1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67A4D8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67A4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67A4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67A4D8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F4B185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F4B18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18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185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FFD864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FFD864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864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864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4472C4" w:themeFill="accent5"/>
      </w:tcPr>
    </w:tblStylePr>
    <w:tblStylePr w:type="firstRow">
      <w:rPr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color w:val="F2F2F2"/>
        <w:sz w:val="22"/>
      </w:rPr>
      <w:tblPr/>
      <w:tcPr>
        <w:shd w:val="clear" w:color="FFFFFF" w:fill="4472C4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CE0F1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CE0F1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67A4D8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67A4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67A4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67A4D8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F4B185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F4B18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18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185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FFD864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FFD864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864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864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4472C4" w:themeFill="accent5"/>
      </w:tcPr>
    </w:tblStylePr>
    <w:tblStylePr w:type="firstRow">
      <w:rPr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color w:val="F2F2F2"/>
        <w:sz w:val="22"/>
      </w:rPr>
      <w:tblPr/>
      <w:tcPr>
        <w:shd w:val="clear" w:color="FFFFFF" w:fill="4472C4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823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Application>LibreOffice/7.5.6.2$Linux_X86_64 LibreOffice_project/50$Build-2</Application>
  <AppVersion>15.0000</AppVersion>
  <Pages>2</Pages>
  <Words>280</Words>
  <Characters>2181</Characters>
  <CharactersWithSpaces>2589</CharactersWithSpaces>
  <Paragraphs>19</Paragraphs>
  <Company>Управление Росреестра по Владимирской области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2022-06-23T07:13:00Z</dcterms:created>
  <dc:creator>Пушкарская Диана Дмитриевна</dc:creator>
  <dc:description/>
  <dc:language>ru-RU</dc:language>
  <cp:lastModifiedBy/>
  <dcterms:modified xsi:type="dcterms:W3CDTF">2024-11-08T15:57:01Z</dcterms:modified>
  <cp:revision>52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