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/>
      </w:pPr>
      <w:r>
        <w:rPr/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right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jc w:val="right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spacing w:lineRule="auto" w:line="240" w:before="0" w:after="0"/>
        <w:jc w:val="center"/>
        <w:rPr>
          <w:rFonts w:ascii="Arial" w:hAnsi="Arial"/>
          <w:sz w:val="26"/>
          <w:szCs w:val="26"/>
        </w:rPr>
      </w:pPr>
      <w:r>
        <w:rPr>
          <w:rFonts w:ascii="Arial" w:hAnsi="Arial"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/>
          <w:sz w:val="26"/>
          <w:szCs w:val="26"/>
        </w:rPr>
      </w:pPr>
      <w:r>
        <w:rPr>
          <w:rFonts w:cs="Times New Roman" w:ascii="Arial" w:hAnsi="Arial"/>
          <w:b/>
          <w:sz w:val="26"/>
          <w:szCs w:val="26"/>
        </w:rPr>
        <w:t>Управление информирует о порядке о</w:t>
      </w:r>
      <w:r>
        <w:rPr>
          <w:rFonts w:eastAsia="Calibri" w:cs="Times New Roman" w:ascii="Arial" w:hAnsi="Arial" w:eastAsiaTheme="minorHAnsi"/>
          <w:b/>
          <w:color w:val="auto"/>
          <w:kern w:val="0"/>
          <w:sz w:val="26"/>
          <w:szCs w:val="26"/>
          <w:lang w:val="ru-RU" w:eastAsia="en-US" w:bidi="ar-SA"/>
        </w:rPr>
        <w:t xml:space="preserve">тказа от права собственности </w:t>
      </w:r>
    </w:p>
    <w:p>
      <w:pPr>
        <w:pStyle w:val="Normal"/>
        <w:spacing w:lineRule="auto" w:line="240"/>
        <w:jc w:val="center"/>
        <w:rPr/>
      </w:pPr>
      <w:r>
        <w:rPr>
          <w:rFonts w:eastAsia="Calibri" w:cs="Times New Roman" w:ascii="Arial" w:hAnsi="Arial" w:eastAsiaTheme="minorHAnsi"/>
          <w:b/>
          <w:color w:val="auto"/>
          <w:kern w:val="0"/>
          <w:sz w:val="26"/>
          <w:szCs w:val="26"/>
          <w:lang w:val="ru-RU" w:eastAsia="en-US" w:bidi="ar-SA"/>
        </w:rPr>
        <w:t>на объект капитального строительства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050624"/>
          <w:sz w:val="28"/>
          <w:szCs w:val="28"/>
          <w:shd w:fill="FFFFFF" w:val="clear"/>
        </w:rPr>
        <w:t>Право собственности на недвижимое имущество подразумевает не только владение и пользование, но и обязательство содержать имущество, в том числе платить налоги, коммунальные услуги и т.д. Бывают случаи</w:t>
      </w:r>
      <w:r>
        <w:rPr>
          <w:rFonts w:eastAsia="Times New Roman" w:cs="Times New Roman" w:ascii="Times New Roman" w:hAnsi="Times New Roman"/>
          <w:sz w:val="28"/>
          <w:szCs w:val="28"/>
        </w:rPr>
        <w:t>, когда гражданин имеет в собственности объект недвижимости, которым фактически не пользуется. Как правило, такое имущество расположено далеко за пределами его постоянного проживания, и как показывает практика о таких объектах, например, доставшихся по наследству, собственники нередко забывают до момента, пока не приходит налоговое уведомление об оплате налога на имущество. Также в настоящее время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, нередки бывают ситуации когда в собственности застройщиков коттеджных поселков остаются объекты недвижимости, фактически призванные обеспечивать нужды поселка - освещения или коммунальные объекты. </w:t>
      </w:r>
      <w:r>
        <w:rPr>
          <w:rFonts w:eastAsia="Times New Roman" w:cs="Times New Roman" w:ascii="Times New Roman" w:hAnsi="Times New Roman"/>
          <w:sz w:val="28"/>
          <w:szCs w:val="28"/>
        </w:rPr>
        <w:t>Тогда встает резонный вопрос: как быть?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В таких случаях отказ от права собственности на объект в пользу публичных органов может стать решением проблемы. 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Как указано в </w:t>
      </w:r>
      <w:r>
        <w:fldChar w:fldCharType="begin"/>
      </w:r>
      <w:r>
        <w:rPr>
          <w:sz w:val="28"/>
          <w:u w:val="none"/>
          <w:szCs w:val="28"/>
          <w:rFonts w:eastAsia="Times New Roman" w:cs="Times New Roman" w:ascii="Times New Roman" w:hAnsi="Times New Roman"/>
          <w:color w:val="000000"/>
        </w:rPr>
        <w:instrText xml:space="preserve"> HYPERLINK "https://base.garant.ru/10164072/0d0e07f3f4a3036c7471a8ad6bcc9535/" \l "block_236"</w:instrText>
      </w:r>
      <w:r>
        <w:rPr>
          <w:sz w:val="28"/>
          <w:u w:val="none"/>
          <w:szCs w:val="28"/>
          <w:rFonts w:eastAsia="Times New Roman" w:cs="Times New Roman" w:ascii="Times New Roman" w:hAnsi="Times New Roman"/>
          <w:color w:val="000000"/>
        </w:rPr>
        <w:fldChar w:fldCharType="separate"/>
      </w: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u w:val="none"/>
        </w:rPr>
        <w:t>статье 236</w:t>
      </w:r>
      <w:r>
        <w:rPr>
          <w:sz w:val="28"/>
          <w:u w:val="none"/>
          <w:szCs w:val="28"/>
          <w:rFonts w:eastAsia="Times New Roman" w:cs="Times New Roman" w:ascii="Times New Roman" w:hAnsi="Times New Roman"/>
          <w:color w:val="000000"/>
        </w:rPr>
        <w:fldChar w:fldCharType="end"/>
      </w: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u w:val="none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Гражданского кодекса Российской Федерации (ГК РФ) гражданин или юридическое лицо может отказаться от права собственности на принадлежащее ему имущество, объявив об этом либо совершив другие действия, определенно свидетельствующие о его устранении от владения, пользования и распоряжения имуществом без намерения сохранить какие-либо права на это имущество.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При этом принципиальное значение применительно к последствиям отказа имеет вид объекта: является объект, от которого отказываются, земельным участком или объектом капитального строительства (ОКС).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«В отличие от земельных участков законодательство не предусматривает автоматическое возникновение права собственности за государственными или муниципальными органами на ОКС в случае отказа от права частной собственности на них. Отказ от прав на них осуществляется путем направления заявления в орган местного самоуправления», - подчеркивает заместитель начальника отдела государственной регистрации недвижимости Управления Оксана Аликебедова.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none"/>
          <w:u w:val="none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Так, в соответствии с действующим законодательством лицу, намеревающемуся отказаться от права собственности на объект, необходимо обратиться в орган местного самоуправления, который, в свою очередь, обращается в Росреестр с заявлением о постановке объекта на учет как бесхозяйного </w:t>
      </w: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u w:val="none"/>
        </w:rPr>
        <w:t>(</w:t>
      </w:r>
      <w:r>
        <w:rPr>
          <w:rStyle w:val="-"/>
          <w:rFonts w:eastAsia="Times New Roman" w:cs="Times New Roman" w:ascii="Times New Roman" w:hAnsi="Times New Roman"/>
          <w:color w:val="000000" w:themeColor="text1"/>
          <w:sz w:val="28"/>
          <w:szCs w:val="28"/>
          <w:u w:val="none"/>
        </w:rPr>
        <w:t xml:space="preserve">ст. 225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ГК РФ, Приказ Росреестра от 15.03.2023 № П/0086 «Об установлении Порядка принятия на учет бесхозяйных недвижимых вещей» </w:t>
      </w: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u w:val="none"/>
        </w:rPr>
        <w:t xml:space="preserve">(Порядок). </w:t>
      </w:r>
    </w:p>
    <w:p>
      <w:pPr>
        <w:pStyle w:val="Normal"/>
        <w:spacing w:lineRule="atLeast" w:line="288" w:before="0" w:after="0"/>
        <w:ind w:left="0" w:right="0" w:firstLine="540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u w:val="none"/>
        </w:rPr>
      </w:pP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u w:val="none"/>
        </w:rPr>
        <w:t>Согласно пункту 3 Порядка на учет принимаются здания (строения), сооружения, помещения, машино-места, объекты незавершенного строительства (объекты недвижимого имущества), сведения о которых внесены в Единый государственный реестр недвижимости и которые не имеют собственников или собственники которых неизвестны, либо, если иное не предусмотрено законами, от права собственности на которые собственники отказались.</w:t>
      </w:r>
    </w:p>
    <w:p>
      <w:pPr>
        <w:pStyle w:val="Normal"/>
        <w:widowControl/>
        <w:suppressAutoHyphens w:val="true"/>
        <w:bidi w:val="0"/>
        <w:spacing w:lineRule="atLeast" w:line="288" w:beforeAutospacing="0" w:before="0" w:afterAutospacing="0" w:after="0"/>
        <w:ind w:left="0" w:right="0" w:firstLine="737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Далее, по истечении года со дня постановки бесхозяйной недвижимой вещи на учет, а в случае постановки на учет линейного объекта по истечении трех месяцев со дня постановки на учет орган, уполномоченный управлять муниципальным имуществом, может обратиться в суд с требованием о признании права муниципальной собственности на эту вещь</w:t>
      </w: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</w:rPr>
        <w:t xml:space="preserve"> (</w:t>
      </w: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u w:val="none"/>
        </w:rPr>
        <w:t>пункт 3 статьи 225</w:t>
      </w: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</w:rPr>
        <w:t xml:space="preserve"> ГК РФ).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Таким образом, возникновение права муниципальной собственности происходит не одномоментно с прекращением права на объект, как в случае с земельными участками. Данное отличие обуславливает еще одну особенность при отказе от права собственности от ОКС. Так, по общему правилу, отказ от права собственности не влечет прекращения прав и обязанностей собственника в отношении соответствующего имущества до приобретения права собственности на него другим лицом, соответственно, собственник оказывается в «подвешенном» состоянии, когда ему приходится нести расходы на содержание имущества до неопределенного срока.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Однако из этого правила есть исключения. Например, органы власти, а в некоторых случаях ресурсоснабжающая организация, обязаны взять на себя обязанность по содержанию и обслуживанию бесхозяйных объектов водоснабжения, водоотведения и теплоснабжения до даты оформления на них права собственности</w:t>
      </w:r>
      <w:bookmarkStart w:id="0" w:name="_ftnref4"/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 (часть 6.1 статьи 15 Федерального закона от 27.07.2010 № 190-ФЗ «О теплоснабжении»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; часть 5 статьи 8 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Федерального закона от 07.12.2011 № 416-ФЗ «О водоснабжении и водоотведении»).</w:t>
      </w:r>
      <w:bookmarkEnd w:id="0"/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</w:rPr>
        <w:t xml:space="preserve">Заведующий </w:t>
      </w:r>
      <w:bookmarkStart w:id="1" w:name="_GoBack_Копия_1"/>
      <w:r>
        <w:rPr>
          <w:rFonts w:eastAsia="Calibri" w:cs="Arial" w:ascii="Times New Roman" w:hAnsi="Times New Roman" w:cstheme="minorBidi" w:eastAsiaTheme="minorHAnsi"/>
          <w:color w:val="auto"/>
          <w:kern w:val="0"/>
          <w:sz w:val="28"/>
          <w:szCs w:val="28"/>
          <w:lang w:val="ru-RU" w:eastAsia="en-US" w:bidi="ar-SA"/>
        </w:rPr>
        <w:t xml:space="preserve">кафедрой гражданско-правовых дисциплин Владимирского филиала РАНХиГС, кандидат юридических наук </w:t>
      </w:r>
      <w:bookmarkEnd w:id="1"/>
      <w:r>
        <w:rPr>
          <w:rFonts w:eastAsia="Calibri" w:cs="Arial" w:ascii="Times New Roman" w:hAnsi="Times New Roman" w:cstheme="minorBidi" w:eastAsiaTheme="minorHAnsi"/>
          <w:color w:val="auto"/>
          <w:kern w:val="0"/>
          <w:sz w:val="28"/>
          <w:szCs w:val="28"/>
          <w:lang w:val="ru-RU" w:eastAsia="en-US" w:bidi="ar-SA"/>
        </w:rPr>
        <w:t>Андрей Баринов подчеркивает: «О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>тказ от права собственности недопустим в случаях, когда ОКС расположен на земельном участке, принадлежащие заявителю на праве собственности, поскольку в таком случае будет нарушаться принцип единства судьбы земельного участка и расположенного на нем ОКС согласно пункту 4 статьи 35 Земельного кодекса Российской Федерации».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 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Резюмируя изложенное, отмечаем, что действующим законодательством регламентирован порядок при отказе от права собственности на ОКС путем обращения с соответствующим заявлением не в орган регистрации, а в орган местного самоуправления. Росреестр принимает на учет бесхозяйные недвижимые вещи на основании заявления органа местного самоуправления, при этом обязанности собственника будут сохраняться до момента, когда у объекта не появится новый собственник, кроме случаев, когда речь идет об объектах водоснабжения, теплоснабжения.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color w:val="7F7F7F" w:themeColor="text1" w:themeTint="80"/>
          <w:sz w:val="28"/>
          <w:szCs w:val="28"/>
          <w:highlight w:val="none"/>
          <w:u w:val="none"/>
        </w:rPr>
      </w:pPr>
      <w:r>
        <w:rPr>
          <w:rFonts w:eastAsia="Times New Roman" w:cs="Times New Roman" w:ascii="Times New Roman" w:hAnsi="Times New Roman"/>
          <w:color w:val="7F7F7F" w:themeColor="text1" w:themeTint="80"/>
          <w:sz w:val="28"/>
          <w:szCs w:val="28"/>
          <w:u w:val="none"/>
        </w:rPr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BodyTextIndent3"/>
        <w:spacing w:before="0" w:after="0"/>
        <w:ind w:left="0" w:right="0" w:firstLine="709"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right="0" w:firstLine="709"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34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Arial">
    <w:charset w:val="01"/>
    <w:family w:val="roman"/>
    <w:pitch w:val="default"/>
  </w:font>
  <w:font w:name="Tahoma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  <w:font w:name="Segoe UI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Tahoma" w:hAnsi="Tahoma" w:cs="Tahoma"/>
      <w:sz w:val="16"/>
      <w:szCs w:val="16"/>
    </w:rPr>
  </w:style>
  <w:style w:type="character" w:styleId="Bookmark1" w:customStyle="1">
    <w:name w:val="bookmark1"/>
    <w:basedOn w:val="DefaultParagraphFont"/>
    <w:qFormat/>
    <w:rPr>
      <w:rFonts w:ascii="Tahoma" w:hAnsi="Tahoma" w:cs="Tahoma"/>
      <w:b/>
      <w:bCs/>
      <w:color w:val="EEEEEE"/>
      <w:sz w:val="16"/>
      <w:szCs w:val="16"/>
      <w:shd w:fill="696766" w:val="clear"/>
    </w:rPr>
  </w:style>
  <w:style w:type="character" w:styleId="Title3" w:customStyle="1">
    <w:name w:val="title3"/>
    <w:basedOn w:val="DefaultParagraphFont"/>
    <w:qFormat/>
    <w:rPr>
      <w:rFonts w:ascii="Tahoma" w:hAnsi="Tahoma" w:cs="Tahoma"/>
      <w:b/>
      <w:bCs/>
      <w:color w:val="000000"/>
      <w:sz w:val="16"/>
      <w:szCs w:val="16"/>
      <w:shd w:fill="D8D8D8" w:val="clear"/>
    </w:rPr>
  </w:style>
  <w:style w:type="character" w:styleId="Style10" w:customStyle="1">
    <w:name w:val="Верхний колонтитул Знак"/>
    <w:basedOn w:val="DefaultParagraphFont"/>
    <w:uiPriority w:val="99"/>
    <w:qFormat/>
    <w:rPr/>
  </w:style>
  <w:style w:type="character" w:styleId="Style11" w:customStyle="1">
    <w:name w:val="Нижний колонтитул Знак"/>
    <w:basedOn w:val="DefaultParagraphFont"/>
    <w:uiPriority w:val="99"/>
    <w:qFormat/>
    <w:rPr/>
  </w:style>
  <w:style w:type="character" w:styleId="-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ascii="PT Astra Serif" w:hAnsi="PT Astra Serif" w:cs="Noto Sans Devanagari"/>
    </w:rPr>
  </w:style>
  <w:style w:type="paragraph" w:styleId="Style15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Style16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Style17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8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Style19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0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1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1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1">
    <w:name w:val="Index Heading"/>
    <w:basedOn w:val="Style12"/>
    <w:pPr/>
    <w:rPr/>
  </w:style>
  <w:style w:type="paragraph" w:styleId="Style22">
    <w:name w:val="TOC Heading"/>
    <w:uiPriority w:val="39"/>
    <w:unhideWhenUsed/>
    <w:pPr>
      <w:widowControl/>
      <w:suppressAutoHyphens w:val="true"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Style23">
    <w:name w:val="Колонтитул"/>
    <w:basedOn w:val="Normal"/>
    <w:qFormat/>
    <w:pPr/>
    <w:rPr/>
  </w:style>
  <w:style w:type="paragraph" w:styleId="Style24">
    <w:name w:val="Header"/>
    <w:basedOn w:val="Normal"/>
    <w:uiPriority w:val="99"/>
    <w:unhideWhenUsed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5">
    <w:name w:val="Footer"/>
    <w:basedOn w:val="Normal"/>
    <w:uiPriority w:val="99"/>
    <w:unhideWhenUsed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BodyTextIndent3" w:customStyle="1">
    <w:name w:val="Body Text Indent 3"/>
    <w:uiPriority w:val="99"/>
    <w:unhideWhenUsed/>
    <w:qFormat/>
    <w:pPr>
      <w:keepNext w:val="false"/>
      <w:keepLines w:val="false"/>
      <w:pageBreakBefore w:val="false"/>
      <w:widowControl w:val="false"/>
      <w:shd w:val="nil" w:color="000000"/>
      <w:suppressAutoHyphens w:val="true"/>
      <w:bidi w:val="0"/>
      <w:spacing w:lineRule="auto" w:line="240" w:beforeAutospacing="0" w:before="0" w:afterAutospacing="0" w:after="120"/>
      <w:ind w:left="283" w:right="0" w:hanging="0"/>
      <w:jc w:val="left"/>
    </w:pPr>
    <w:rPr>
      <w:rFonts w:ascii="Times New Roman" w:hAnsi="Times New Roman" w:eastAsia="Arial Unicode MS" w:cs="Mangal"/>
      <w:b w:val="false"/>
      <w:bCs w:val="false"/>
      <w:i w:val="false"/>
      <w:iCs w:val="false"/>
      <w:caps w:val="false"/>
      <w:smallCaps w:val="false"/>
      <w:strike w:val="false"/>
      <w:dstrike w:val="false"/>
      <w:vanish w:val="false"/>
      <w:color w:val="auto"/>
      <w:spacing w:val="0"/>
      <w:kern w:val="0"/>
      <w:position w:val="0"/>
      <w:sz w:val="16"/>
      <w:sz w:val="16"/>
      <w:szCs w:val="14"/>
      <w:u w:val="none"/>
      <w:vertAlign w:val="baseline"/>
      <w:lang w:val="ru-RU" w:eastAsia="hi-IN" w:bidi="hi-IN"/>
      <w14:ligatures w14:val="none"/>
    </w:rPr>
  </w:style>
  <w:style w:type="paragraph" w:styleId="NormalWeb" w:customStyle="1">
    <w:name w:val="Normal (Web)"/>
    <w:uiPriority w:val="99"/>
    <w:unhideWhenUsed/>
    <w:qFormat/>
    <w:pPr>
      <w:keepNext w:val="false"/>
      <w:keepLines w:val="false"/>
      <w:pageBreakBefore w:val="false"/>
      <w:widowControl/>
      <w:shd w:val="nil" w:color="000000"/>
      <w:suppressAutoHyphens w:val="true"/>
      <w:bidi w:val="0"/>
      <w:spacing w:lineRule="auto" w:line="240" w:beforeAutospacing="0" w:before="0" w:afterAutospacing="0" w:after="96"/>
      <w:ind w:left="0" w:right="0" w:hanging="0"/>
      <w:jc w:val="left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vanish w:val="false"/>
      <w:color w:val="auto"/>
      <w:spacing w:val="0"/>
      <w:kern w:val="0"/>
      <w:position w:val="0"/>
      <w:sz w:val="24"/>
      <w:sz w:val="24"/>
      <w:szCs w:val="24"/>
      <w:u w:val="none"/>
      <w:vertAlign w:val="baseline"/>
      <w:lang w:val="ru-RU" w:eastAsia="ru-RU" w:bidi="ar-SA"/>
      <w14:ligatures w14:val="none"/>
    </w:rPr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C2D91E-294A-46C3-9D62-07550C0F1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Application>LibreOffice/7.5.6.2$Linux_X86_64 LibreOffice_project/50$Build-2</Application>
  <AppVersion>15.0000</AppVersion>
  <Pages>3</Pages>
  <Words>713</Words>
  <Characters>4889</Characters>
  <CharactersWithSpaces>5585</CharactersWithSpaces>
  <Paragraphs>23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2023-02-09T08:58:00Z</dcterms:created>
  <dc:creator>Садовникова Ольга Викторовна</dc:creator>
  <dc:description/>
  <dc:language>ru-RU</dc:language>
  <cp:lastModifiedBy/>
  <dcterms:modified xsi:type="dcterms:W3CDTF">2025-03-06T15:56:20Z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