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word/_rels/document.xml.rels" ContentType="application/vnd.openxmlformats-package.relationships+xml"/>
  <Override PartName="/word/fontTable.xml" ContentType="application/vnd.openxmlformats-officedocument.wordprocessingml.fontTable+xml"/>
  <Override PartName="/word/media/image1.png" ContentType="image/png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Spacing"/>
        <w:tabs>
          <w:tab w:val="clear" w:pos="708"/>
          <w:tab w:val="left" w:pos="3119" w:leader="none"/>
        </w:tabs>
        <w:rPr/>
      </w:pPr>
      <w:r>
        <w:drawing>
          <wp:anchor behindDoc="0" distT="0" distB="0" distL="0" distR="114300" simplePos="0" locked="0" layoutInCell="0" allowOverlap="1" relativeHeight="3">
            <wp:simplePos x="0" y="0"/>
            <wp:positionH relativeFrom="column">
              <wp:align>left</wp:align>
            </wp:positionH>
            <wp:positionV relativeFrom="paragraph">
              <wp:posOffset>635</wp:posOffset>
            </wp:positionV>
            <wp:extent cx="1990725" cy="704850"/>
            <wp:effectExtent l="0" t="0" r="0" b="0"/>
            <wp:wrapSquare wrapText="bothSides"/>
            <wp:docPr id="1" name="Рисунок 3" descr="C:\Users\E.Kudryashova\AppData\Local\Microsoft\Windows\INetCache\Content.Word\Лого основное 2 Владимирская область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3" descr="C:\Users\E.Kudryashova\AppData\Local\Microsoft\Windows\INetCache\Content.Word\Лого основное 2 Владимирская область.pn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 xml:space="preserve">                                                                                                                                        </w:t>
      </w:r>
    </w:p>
    <w:p>
      <w:pPr>
        <w:pStyle w:val="NoSpacing"/>
        <w:rPr/>
      </w:pPr>
      <w:r>
        <w:rPr/>
        <w:br w:type="textWrapping" w:clear="all"/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</w:r>
    </w:p>
    <w:p>
      <w:pPr>
        <w:pStyle w:val="NoSpacing"/>
        <w:jc w:val="right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ПРЕСС-РЕЛИЗ</w:t>
      </w:r>
    </w:p>
    <w:p>
      <w:pPr>
        <w:pStyle w:val="Normal"/>
        <w:rPr/>
      </w:pPr>
      <w:r>
        <w:rPr/>
      </w:r>
    </w:p>
    <w:p>
      <w:pPr>
        <w:pStyle w:val="Normal"/>
        <w:spacing w:lineRule="auto" w:line="240" w:before="0" w:after="0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cs="Times New Roman" w:ascii="Times New Roman" w:hAnsi="Times New Roman"/>
          <w:sz w:val="24"/>
          <w:szCs w:val="24"/>
        </w:rPr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 xml:space="preserve">Управление Росреестра по Владимирской области информирует </w:t>
      </w:r>
    </w:p>
    <w:p>
      <w:pPr>
        <w:pStyle w:val="NoSpacing"/>
        <w:jc w:val="center"/>
        <w:rPr>
          <w:rFonts w:ascii="Arial" w:hAnsi="Arial" w:eastAsia="Arial Unicode MS" w:cs="Arial"/>
          <w:b/>
          <w:sz w:val="26"/>
          <w:szCs w:val="26"/>
        </w:rPr>
      </w:pPr>
      <w:r>
        <w:rPr>
          <w:rFonts w:eastAsia="Arial Unicode MS" w:cs="Arial" w:ascii="Arial" w:hAnsi="Arial"/>
          <w:b/>
          <w:sz w:val="26"/>
          <w:szCs w:val="26"/>
        </w:rPr>
        <w:t>о р</w:t>
      </w:r>
      <w:r>
        <w:rPr>
          <w:rFonts w:eastAsia="Arial Unicode MS" w:cs="Arial" w:ascii="Arial" w:hAnsi="Arial"/>
          <w:b/>
          <w:color w:val="auto"/>
          <w:kern w:val="0"/>
          <w:sz w:val="26"/>
          <w:szCs w:val="26"/>
          <w:lang w:val="ru-RU" w:eastAsia="en-US" w:bidi="ar-SA"/>
        </w:rPr>
        <w:t>еконструкции жилого дома блокированной застройки</w:t>
      </w:r>
    </w:p>
    <w:p>
      <w:pPr>
        <w:pStyle w:val="NoSpacing"/>
        <w:jc w:val="center"/>
        <w:rPr>
          <w:rFonts w:ascii="Arial" w:hAnsi="Arial" w:eastAsia="Arial Unicode MS" w:cs="Arial"/>
          <w:b/>
          <w:color w:val="auto"/>
          <w:kern w:val="0"/>
          <w:sz w:val="26"/>
          <w:szCs w:val="26"/>
          <w:lang w:val="ru-RU" w:eastAsia="en-US" w:bidi="ar-SA"/>
        </w:rPr>
      </w:pPr>
      <w:r>
        <w:rPr>
          <w:rFonts w:eastAsia="Arial Unicode MS" w:cs="Arial" w:ascii="Arial" w:hAnsi="Arial"/>
          <w:b/>
          <w:color w:val="auto"/>
          <w:kern w:val="0"/>
          <w:sz w:val="26"/>
          <w:szCs w:val="26"/>
          <w:lang w:val="ru-RU" w:eastAsia="en-US" w:bidi="ar-SA"/>
        </w:rPr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 xml:space="preserve">В соответствии с пунктом 40 статьи 1 Градостроительного кодекса РФ (ГрК РФ) дом блокированной застройки - это жилой дом, блокированный с другим жилым домом (другими жилыми домами) в одном ряду общей боковой стеной (общими боковыми стенами) без проемов и имеющий отдельный выход на земельный участок. 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Для реконструкции дома блокированной застройки собственнику нужно оформить документы - без разрешения проводить работы по переустройству запрещено. Нужно разработать проект, обратиться за получением согласования и дальнейшим вводом в эксплуатацию.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Согласно пунктам 1, 2, 4, 7 статьи 51 ГрК РФ строительство, реконструкция объектов капитального строительства (ОКС) осуществляются на основании разрешения на строительство, за исключением случаев, предусмотренных пунктом 17 статьи 51 ГрК РФ.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Разрешение на строительство для жилого дома блокированной застройки представляет собой документ, который подтверждает соответствие проектной документации требованиям, установленным градостроительным регламентом, проектом планировки территории и проектом межевания территории (за исключением случаев, если в соответствии с ГрК РФ подготовка проекта планировки территории и проекта межевания территории не требуется), при осуществлении строительства, реконструкции ОКС, не являющегося линейным объектом, а также допустимость размещения ОКС на земельном участке в соответствии с разрешенным использованием такого земельного участка и ограничениями, установленными в соответствии с земельным и иным законодательством Российской Федерации. Разрешение на строительство дает застройщику право осуществлять строительство, реконструкцию ОКС, за исключением случаев, предусмотренных ГрК РФ.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Разрешение на строительство жилого дома блокированной застройки выдается органом местного самоуправления по месту нахождения земельного участка, за исключением случаев, предусмотренных ГрК РФ и другими федеральными законами.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В целях строительства, реконструкции ОКС, застройщик направляет заявление о выдаче разрешения на строительство в уполномоченный федеральный орган исполнительной власти, орган исполнительной власти субъекта РФ, орган местного самоуправления. К указанному заявлению прилагаются документы и сведения, приведенные в пункте 7 статьи 51 ГрК РФ, в перечень необходимых документов и сведений входят материалы проектной документации (подпункт 3 пункта 7 статьи 51 ГрК РФ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Экспертиза не проводится в отношении проектной документации дома блокированной застройки в случае, если количество этажей в таких домах не превышает трех, при этом количество всех домов блокированной застройки в одном ряду не превышает десяти и их строительство или реконструкция осуществляется без привлечения бюджетных средств (подпункт 2 пункта 2 статьи 49 ГрК РФ).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 xml:space="preserve">«Для ввода объекта в эксплуатацию застройщик обращается в федеральный орган исполнительной власти, орган исполнительной власти субъекта РФ, орган местного самоуправления, выдавшие разрешение на строительство», - </w:t>
      </w:r>
      <w:r>
        <w:rPr>
          <w:rFonts w:eastAsia="Times New Roman" w:cs="Times New Roman" w:ascii="Times New Roman" w:hAnsi="Times New Roman"/>
          <w:sz w:val="28"/>
          <w:szCs w:val="28"/>
        </w:rPr>
        <w:t xml:space="preserve">подчеркивает исполнительный директор </w:t>
      </w:r>
      <w:r>
        <w:rPr>
          <w:rStyle w:val="FontStyle23"/>
          <w:rFonts w:eastAsia="Times New Roman" w:cs="Times New Roman" w:ascii="Times New Roman" w:hAnsi="Times New Roman"/>
          <w:sz w:val="28"/>
          <w:szCs w:val="28"/>
          <w:lang w:val="ru-RU" w:eastAsia="zh-CN" w:bidi="ar-SA"/>
        </w:rPr>
        <w:t>АСРО «Объединение строителей Владимирской области» Мария Гуляева</w:t>
      </w:r>
      <w:r>
        <w:rPr>
          <w:rFonts w:eastAsia="Times New Roman" w:cs="Times New Roman" w:ascii="Times New Roman" w:hAnsi="Times New Roman"/>
          <w:sz w:val="28"/>
          <w:szCs w:val="28"/>
        </w:rPr>
        <w:t>.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В соответствии с пунктами 1-2 статьи 55 ГрК РФ разрешение на ввод объекта в эксплуатацию представляет собой документ, который удостоверяет выполнение строительства, реконструкции ОКС в полном объеме в соответствии с разрешением на строительство, проектной документацией, а также соответствие построенного, реконструированного ОКС требованиям к строительству, реконструкции ОКС, установленным на дату выдачи представленного для получения разрешения на строительство градостроительного плана земельного участка, разрешенному использованию земельного участка, а также ограничениям, установленным в соответствии с земельным и иным законодательством РФ.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 xml:space="preserve">Перечень документов, необходимых уполномоченным органам для принятия решения о выдаче разрешения на ввод объекта в эксплуатацию, установлен пунктом 3 статьи 55 ГрК РФ, сюда относятся: 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- правоустанавливающие документы на земельный участок;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- акт о подключении (технологическом присоединении) этого объекта к сетям инженерно-технического обеспечения (если это предусмотрено проектной документацией);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- схема, отображающая расположение построенного, реконструированного объекта капитального строительства, расположение сетей инженерно-технического обеспечения в границах земельного участка;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- заключение органа государственного строительного надзора (если указанный надзор предусмотрен);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- акт приемки выполненных работ по сохранению объекта культурного наследия, утвержденный соответствующим органом охраны объектов культурного наследия;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>- технический план объекта капитального строительства.</w:t>
      </w:r>
    </w:p>
    <w:p>
      <w:pPr>
        <w:pStyle w:val="Normal"/>
        <w:spacing w:lineRule="auto" w:line="240" w:before="0" w:after="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sz w:val="28"/>
          <w:szCs w:val="28"/>
        </w:rPr>
        <w:t xml:space="preserve">Положения статьи 51.1 ГрК РФ (уведомление о планируемых строительстве или реконструкции объекта индивидуального жилищного строительства или садового дома) на дома блокированной жилой застройки не распространяются.  </w:t>
      </w:r>
    </w:p>
    <w:p>
      <w:pPr>
        <w:pStyle w:val="Normal"/>
        <w:spacing w:lineRule="auto" w:line="240"/>
        <w:ind w:left="0" w:right="0" w:firstLine="709"/>
        <w:jc w:val="both"/>
        <w:rPr>
          <w:sz w:val="28"/>
          <w:szCs w:val="28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 xml:space="preserve">«При постановке на государственный кадастровый учет блоков в жилом доме блокированной застройки разрешение на ввод указанного дома в эксплуатацию, а также технические планы, оформленные в отношении каждого блока в отдельности, будут являться основанием для такого учета», - </w:t>
      </w: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отмечает начальник Александровского отдела Управления Андрей Савинов</w:t>
      </w: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auto"/>
          <w:spacing w:val="0"/>
          <w:kern w:val="0"/>
          <w:sz w:val="28"/>
          <w:szCs w:val="28"/>
          <w:lang w:val="ru-RU" w:eastAsia="en-US" w:bidi="ar-SA"/>
        </w:rPr>
        <w:t>.</w:t>
      </w:r>
    </w:p>
    <w:p>
      <w:pPr>
        <w:pStyle w:val="NoSpacing"/>
        <w:spacing w:lineRule="auto" w:line="240"/>
        <w:ind w:firstLine="708"/>
        <w:jc w:val="both"/>
        <w:rPr>
          <w:rFonts w:ascii="Times New Roman" w:hAnsi="Times New Roman" w:eastAsia="Calibri" w:cs="Times New Roman" w:eastAsiaTheme="minorHAnsi"/>
          <w:color w:val="auto"/>
          <w:kern w:val="0"/>
          <w:sz w:val="28"/>
          <w:szCs w:val="28"/>
          <w:lang w:val="ru-RU" w:eastAsia="en-US" w:bidi="ar-SA"/>
        </w:rPr>
      </w:pPr>
      <w:r>
        <w:rPr>
          <w:rFonts w:eastAsia="Calibri" w:cs="Times New Roman" w:eastAsiaTheme="minorHAnsi" w:ascii="Times New Roman" w:hAnsi="Times New Roman"/>
          <w:color w:val="auto"/>
          <w:kern w:val="0"/>
          <w:sz w:val="28"/>
          <w:szCs w:val="28"/>
          <w:lang w:val="ru-RU" w:eastAsia="en-US" w:bidi="ar-SA"/>
        </w:rPr>
      </w:r>
    </w:p>
    <w:p>
      <w:pPr>
        <w:pStyle w:val="NoSpacing"/>
        <w:spacing w:lineRule="auto" w:line="240"/>
        <w:ind w:firstLine="708"/>
        <w:jc w:val="both"/>
        <w:rPr>
          <w:rFonts w:ascii="Times New Roman" w:hAnsi="Times New Roman" w:eastAsia="Calibri" w:cs="Times New Roman" w:eastAsiaTheme="minorHAnsi"/>
          <w:color w:val="auto"/>
          <w:kern w:val="0"/>
          <w:sz w:val="28"/>
          <w:szCs w:val="28"/>
          <w:lang w:val="ru-RU" w:eastAsia="en-US" w:bidi="ar-SA"/>
        </w:rPr>
      </w:pPr>
      <w:r>
        <w:rPr>
          <w:rFonts w:eastAsia="Calibri" w:cs="Times New Roman" w:eastAsiaTheme="minorHAnsi" w:ascii="Times New Roman" w:hAnsi="Times New Roman"/>
          <w:color w:val="auto"/>
          <w:kern w:val="0"/>
          <w:sz w:val="28"/>
          <w:szCs w:val="28"/>
          <w:lang w:val="ru-RU" w:eastAsia="en-US" w:bidi="ar-SA"/>
        </w:rPr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 xml:space="preserve">Материал подготовлен Управлением Росреестра </w:t>
      </w:r>
    </w:p>
    <w:p>
      <w:pPr>
        <w:pStyle w:val="BodyTextIndent3"/>
        <w:spacing w:before="0" w:after="0"/>
        <w:ind w:left="0" w:firstLine="709"/>
        <w:contextualSpacing/>
        <w:jc w:val="right"/>
        <w:rPr>
          <w:i/>
          <w:i/>
          <w:color w:val="201600"/>
          <w:sz w:val="24"/>
          <w:szCs w:val="24"/>
        </w:rPr>
      </w:pPr>
      <w:r>
        <w:rPr>
          <w:i/>
          <w:color w:val="201600"/>
          <w:sz w:val="24"/>
          <w:szCs w:val="24"/>
        </w:rPr>
        <w:t>по Владимирской области</w:t>
      </w:r>
    </w:p>
    <w:p>
      <w:pPr>
        <w:pStyle w:val="Normal"/>
        <w:ind w:firstLine="709"/>
        <w:jc w:val="both"/>
        <w:rPr>
          <w:rFonts w:ascii="Segoe UI" w:hAnsi="Segoe UI" w:cs="Segoe UI"/>
          <w:b/>
          <w:color w:val="0070C0"/>
          <w:lang w:eastAsia="sk-SK"/>
        </w:rPr>
      </w:pPr>
      <w:r>
        <w:rPr>
          <w:rFonts w:cs="Segoe UI" w:ascii="Segoe UI" w:hAnsi="Segoe UI"/>
          <w:b/>
          <w:color w:val="0070C0"/>
          <w:lang w:eastAsia="sk-SK"/>
        </w:rPr>
        <mc:AlternateContent>
          <mc:Choice Requires="wps">
            <w:drawing>
              <wp:anchor behindDoc="0" distT="8890" distB="8255" distL="8255" distR="8890" simplePos="0" locked="0" layoutInCell="1" allowOverlap="1" relativeHeight="2" wp14:anchorId="0ACE44A2">
                <wp:simplePos x="0" y="0"/>
                <wp:positionH relativeFrom="column">
                  <wp:posOffset>-75565</wp:posOffset>
                </wp:positionH>
                <wp:positionV relativeFrom="paragraph">
                  <wp:posOffset>48895</wp:posOffset>
                </wp:positionV>
                <wp:extent cx="6000750" cy="635"/>
                <wp:effectExtent l="8255" t="8890" r="8890" b="8255"/>
                <wp:wrapNone/>
                <wp:docPr id="2" name="Прямая со стрелкой 2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840" cy="720"/>
                        </a:xfrm>
                        <a:prstGeom prst="straightConnector1">
                          <a:avLst/>
                        </a:prstGeom>
                        <a:noFill/>
                        <a:ln w="15875">
                          <a:solidFill>
                            <a:srgbClr val="0070c0"/>
                          </a:solidFill>
                          <a:round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path="m,l21600,21600nfe">
                <v:stroke joinstyle="miter"/>
                <v:path gradientshapeok="t" o:connecttype="rect" textboxrect="0,0,21600,21600"/>
              </v:shapetype>
              <v:shape id="shape_0" ID="Прямая со стрелкой 2" path="m0,0l-2147483648,-2147483647e" stroked="t" o:allowincell="f" style="position:absolute;margin-left:-5.95pt;margin-top:3.85pt;width:472.45pt;height:0pt;mso-wrap-style:none;v-text-anchor:middle" wp14:anchorId="0ACE44A2" type="_x0000_t32">
                <v:fill o:detectmouseclick="t" on="false"/>
                <v:stroke color="#0070c0" weight="15840" joinstyle="round" endcap="flat"/>
                <w10:wrap type="none"/>
              </v:shape>
            </w:pict>
          </mc:Fallback>
        </mc:AlternateContent>
      </w:r>
    </w:p>
    <w:p>
      <w:pPr>
        <w:pStyle w:val="Normal"/>
        <w:jc w:val="both"/>
        <w:rPr>
          <w:rFonts w:ascii="Segoe UI" w:hAnsi="Segoe UI" w:cs="Segoe UI"/>
          <w:b/>
          <w:lang w:eastAsia="sk-SK"/>
        </w:rPr>
      </w:pPr>
      <w:r>
        <w:rPr>
          <w:rFonts w:cs="Segoe UI" w:ascii="Segoe UI" w:hAnsi="Segoe UI"/>
          <w:b/>
          <w:lang w:eastAsia="sk-SK"/>
        </w:rPr>
        <w:t>Контакты для СМИ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Управление Росреестра по Владимирской области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г. Владимир, ул. Офицерская, д. 33-а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Отдел организации, мониторинга и контроля</w:t>
      </w:r>
    </w:p>
    <w:p>
      <w:pPr>
        <w:pStyle w:val="NormalWeb"/>
        <w:spacing w:before="0" w:after="0"/>
        <w:rPr>
          <w:rFonts w:ascii="Times New Roman" w:hAnsi="Times New Roman"/>
          <w:sz w:val="24"/>
          <w:szCs w:val="24"/>
        </w:rPr>
      </w:pPr>
      <w:r>
        <w:rPr>
          <w:rFonts w:eastAsia="Calibri" w:cs="Segoe UI"/>
          <w:sz w:val="24"/>
          <w:szCs w:val="24"/>
          <w:lang w:eastAsia="en-US"/>
        </w:rPr>
        <w:t>(4922) 45-08-29</w:t>
      </w:r>
    </w:p>
    <w:p>
      <w:pPr>
        <w:pStyle w:val="Normal"/>
        <w:spacing w:before="0" w:after="16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(4922) 45-08-26</w:t>
      </w:r>
    </w:p>
    <w:sectPr>
      <w:type w:val="nextPage"/>
      <w:pgSz w:w="11906" w:h="16838"/>
      <w:pgMar w:left="1701" w:right="850" w:gutter="0" w:header="0" w:top="1620" w:footer="0" w:bottom="851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default"/>
  </w:font>
  <w:font w:name="Calibri Light">
    <w:charset w:val="01"/>
    <w:family w:val="roman"/>
    <w:pitch w:val="default"/>
  </w:font>
  <w:font w:name="Segoe UI">
    <w:charset w:val="01"/>
    <w:family w:val="roman"/>
    <w:pitch w:val="default"/>
  </w:font>
  <w:font w:name="Times New Roman">
    <w:charset w:val="01"/>
    <w:family w:val="roman"/>
    <w:pitch w:val="default"/>
  </w:font>
  <w:font w:name="Arial">
    <w:charset w:val="01"/>
    <w:family w:val="roman"/>
    <w:pitch w:val="default"/>
  </w:font>
  <w:font w:name="Bookman Old Style">
    <w:charset w:val="01"/>
    <w:family w:val="roman"/>
    <w:pitch w:val="default"/>
  </w:font>
  <w:font w:name="PT Astra Serif">
    <w:charset w:val="01"/>
    <w:family w:val="roman"/>
    <w:pitch w:val="default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3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pPr>
      <w:widowControl/>
      <w:suppressAutoHyphens w:val="true"/>
      <w:bidi w:val="0"/>
      <w:spacing w:lineRule="auto" w:line="259" w:before="0" w:after="16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1">
    <w:name w:val="Heading 1"/>
    <w:basedOn w:val="Normal"/>
    <w:next w:val="Normal"/>
    <w:link w:val="11"/>
    <w:uiPriority w:val="9"/>
    <w:qFormat/>
    <w:rsid w:val="00235eef"/>
    <w:pPr>
      <w:keepNext w:val="true"/>
      <w:keepLines/>
      <w:spacing w:before="240" w:after="0"/>
      <w:outlineLvl w:val="0"/>
    </w:pPr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3" w:customStyle="1">
    <w:name w:val="Текст выноски Знак"/>
    <w:basedOn w:val="DefaultParagraphFont"/>
    <w:link w:val="BalloonText"/>
    <w:uiPriority w:val="99"/>
    <w:semiHidden/>
    <w:qFormat/>
    <w:rsid w:val="00df02f6"/>
    <w:rPr>
      <w:rFonts w:ascii="Segoe UI" w:hAnsi="Segoe UI" w:cs="Segoe UI"/>
      <w:sz w:val="18"/>
      <w:szCs w:val="18"/>
    </w:rPr>
  </w:style>
  <w:style w:type="character" w:styleId="11" w:customStyle="1">
    <w:name w:val="Заголовок 1 Знак"/>
    <w:basedOn w:val="DefaultParagraphFont"/>
    <w:uiPriority w:val="9"/>
    <w:qFormat/>
    <w:rsid w:val="00235eef"/>
    <w:rPr>
      <w:rFonts w:ascii="Calibri Light" w:hAnsi="Calibri Light" w:eastAsia="" w:cs="" w:asciiTheme="majorHAnsi" w:cstheme="majorBidi" w:eastAsiaTheme="majorEastAsia" w:hAnsiTheme="majorHAnsi"/>
      <w:color w:val="2E74B5" w:themeColor="accent1" w:themeShade="bf"/>
      <w:sz w:val="32"/>
      <w:szCs w:val="32"/>
    </w:rPr>
  </w:style>
  <w:style w:type="character" w:styleId="-">
    <w:name w:val="Hyperlink"/>
    <w:basedOn w:val="DefaultParagraphFont"/>
    <w:uiPriority w:val="99"/>
    <w:unhideWhenUsed/>
    <w:rsid w:val="00495c8f"/>
    <w:rPr>
      <w:color w:val="0563C1" w:themeColor="hyperlink"/>
      <w:u w:val="single"/>
    </w:rPr>
  </w:style>
  <w:style w:type="character" w:styleId="Annotationreference">
    <w:name w:val="annotation reference"/>
    <w:basedOn w:val="DefaultParagraphFont"/>
    <w:uiPriority w:val="99"/>
    <w:semiHidden/>
    <w:unhideWhenUsed/>
    <w:qFormat/>
    <w:rsid w:val="00f93aab"/>
    <w:rPr>
      <w:sz w:val="16"/>
      <w:szCs w:val="16"/>
    </w:rPr>
  </w:style>
  <w:style w:type="character" w:styleId="Style14" w:customStyle="1">
    <w:name w:val="Текст примечания Знак"/>
    <w:basedOn w:val="DefaultParagraphFont"/>
    <w:link w:val="Annotationtext"/>
    <w:uiPriority w:val="99"/>
    <w:semiHidden/>
    <w:qFormat/>
    <w:rsid w:val="00f93aab"/>
    <w:rPr>
      <w:sz w:val="20"/>
      <w:szCs w:val="20"/>
    </w:rPr>
  </w:style>
  <w:style w:type="character" w:styleId="Style15" w:customStyle="1">
    <w:name w:val="Тема примечания Знак"/>
    <w:basedOn w:val="Style14"/>
    <w:link w:val="Annotationsubject"/>
    <w:uiPriority w:val="99"/>
    <w:semiHidden/>
    <w:qFormat/>
    <w:rsid w:val="00f93aab"/>
    <w:rPr>
      <w:b/>
      <w:bCs/>
      <w:sz w:val="20"/>
      <w:szCs w:val="20"/>
    </w:rPr>
  </w:style>
  <w:style w:type="character" w:styleId="3" w:customStyle="1">
    <w:name w:val="Основной текст с отступом 3 Знак"/>
    <w:basedOn w:val="DefaultParagraphFont"/>
    <w:link w:val="BodyTextIndent3"/>
    <w:uiPriority w:val="99"/>
    <w:qFormat/>
    <w:rsid w:val="00430e6d"/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character" w:styleId="ConsPlusNormal" w:customStyle="1">
    <w:name w:val="ConsPlusNormal Знак"/>
    <w:link w:val="ConsPlusNormal1"/>
    <w:qFormat/>
    <w:locked/>
    <w:rsid w:val="00f96508"/>
    <w:rPr>
      <w:rFonts w:ascii="Arial" w:hAnsi="Arial" w:cs="Arial"/>
      <w:sz w:val="20"/>
      <w:szCs w:val="20"/>
    </w:rPr>
  </w:style>
  <w:style w:type="character" w:styleId="BodyText2" w:customStyle="1">
    <w:name w:val="Body Text 2 Знак"/>
    <w:link w:val="21"/>
    <w:qFormat/>
    <w:rsid w:val="005f3b17"/>
    <w:rPr>
      <w:rFonts w:ascii="Times New Roman" w:hAnsi="Times New Roman" w:eastAsia="Times New Roman" w:cs="Times New Roman"/>
      <w:sz w:val="24"/>
      <w:szCs w:val="20"/>
      <w:lang w:eastAsia="ru-RU"/>
    </w:rPr>
  </w:style>
  <w:style w:type="character" w:styleId="FontStyle23">
    <w:name w:val="Font Style23"/>
    <w:qFormat/>
    <w:rPr>
      <w:rFonts w:ascii="Bookman Old Style" w:hAnsi="Bookman Old Style" w:cs="Bookman Old Style"/>
      <w:sz w:val="20"/>
      <w:szCs w:val="20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PT Astra Serif" w:hAnsi="PT Astra Serif" w:eastAsia="Tahoma" w:cs="Noto Sans Devanagari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ascii="PT Astra Serif" w:hAnsi="PT Astra Serif" w:cs="Noto Sans Devanagari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ascii="PT Astra Serif" w:hAnsi="PT Astra Serif" w:cs="Noto Sans Devanagari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ascii="PT Astra Serif" w:hAnsi="PT Astra Serif" w:cs="Noto Sans Devanagari"/>
    </w:rPr>
  </w:style>
  <w:style w:type="paragraph" w:styleId="BalloonText">
    <w:name w:val="Balloon Text"/>
    <w:basedOn w:val="Normal"/>
    <w:link w:val="Style13"/>
    <w:uiPriority w:val="99"/>
    <w:semiHidden/>
    <w:unhideWhenUsed/>
    <w:qFormat/>
    <w:rsid w:val="00df02f6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235eef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ListParagraph">
    <w:name w:val="List Paragraph"/>
    <w:basedOn w:val="Normal"/>
    <w:uiPriority w:val="34"/>
    <w:qFormat/>
    <w:rsid w:val="00cb3098"/>
    <w:pPr>
      <w:spacing w:lineRule="auto" w:line="252" w:before="0" w:after="160"/>
      <w:ind w:left="720" w:hanging="0"/>
      <w:contextualSpacing/>
    </w:pPr>
    <w:rPr/>
  </w:style>
  <w:style w:type="paragraph" w:styleId="Annotationtext">
    <w:name w:val="annotation text"/>
    <w:basedOn w:val="Normal"/>
    <w:link w:val="Style14"/>
    <w:uiPriority w:val="99"/>
    <w:semiHidden/>
    <w:unhideWhenUsed/>
    <w:qFormat/>
    <w:rsid w:val="00f93aab"/>
    <w:pPr>
      <w:spacing w:lineRule="auto" w:line="240"/>
    </w:pPr>
    <w:rPr>
      <w:sz w:val="20"/>
      <w:szCs w:val="20"/>
    </w:rPr>
  </w:style>
  <w:style w:type="paragraph" w:styleId="Annotationsubject">
    <w:name w:val="annotation subject"/>
    <w:basedOn w:val="Annotationtext"/>
    <w:next w:val="Annotationtext"/>
    <w:link w:val="Style15"/>
    <w:uiPriority w:val="99"/>
    <w:semiHidden/>
    <w:unhideWhenUsed/>
    <w:qFormat/>
    <w:rsid w:val="00f93aab"/>
    <w:pPr/>
    <w:rPr>
      <w:b/>
      <w:bCs/>
    </w:rPr>
  </w:style>
  <w:style w:type="paragraph" w:styleId="NormalWeb">
    <w:name w:val="Normal (Web)"/>
    <w:basedOn w:val="Normal"/>
    <w:uiPriority w:val="99"/>
    <w:unhideWhenUsed/>
    <w:qFormat/>
    <w:rsid w:val="00430e6d"/>
    <w:pPr>
      <w:spacing w:lineRule="auto" w:line="240" w:before="0" w:after="96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odyTextIndent3">
    <w:name w:val="Body Text Indent 3"/>
    <w:basedOn w:val="Normal"/>
    <w:link w:val="3"/>
    <w:uiPriority w:val="99"/>
    <w:unhideWhenUsed/>
    <w:qFormat/>
    <w:rsid w:val="00430e6d"/>
    <w:pPr>
      <w:widowControl w:val="false"/>
      <w:suppressAutoHyphens w:val="true"/>
      <w:spacing w:lineRule="auto" w:line="240" w:before="0" w:after="120"/>
      <w:ind w:left="283" w:hanging="0"/>
    </w:pPr>
    <w:rPr>
      <w:rFonts w:ascii="Times New Roman" w:hAnsi="Times New Roman" w:eastAsia="Arial Unicode MS" w:cs="Mangal"/>
      <w:kern w:val="2"/>
      <w:sz w:val="16"/>
      <w:szCs w:val="14"/>
      <w:lang w:eastAsia="hi-IN" w:bidi="hi-IN"/>
    </w:rPr>
  </w:style>
  <w:style w:type="paragraph" w:styleId="ConsPlusNormal1" w:customStyle="1">
    <w:name w:val="ConsPlusNormal"/>
    <w:link w:val="ConsPlusNormal"/>
    <w:qFormat/>
    <w:rsid w:val="00f96508"/>
    <w:pPr>
      <w:widowControl/>
      <w:suppressAutoHyphens w:val="true"/>
      <w:bidi w:val="0"/>
      <w:spacing w:lineRule="auto" w:line="240" w:before="0" w:after="0"/>
      <w:jc w:val="left"/>
    </w:pPr>
    <w:rPr>
      <w:rFonts w:ascii="Arial" w:hAnsi="Arial" w:eastAsia="Calibri" w:cs="Arial" w:eastAsiaTheme="minorHAnsi"/>
      <w:color w:val="auto"/>
      <w:kern w:val="0"/>
      <w:sz w:val="20"/>
      <w:szCs w:val="20"/>
      <w:lang w:val="ru-RU" w:eastAsia="en-US" w:bidi="ar-SA"/>
    </w:rPr>
  </w:style>
  <w:style w:type="paragraph" w:styleId="21" w:customStyle="1">
    <w:name w:val="Основной текст 21"/>
    <w:basedOn w:val="Normal"/>
    <w:link w:val="BodyText2"/>
    <w:qFormat/>
    <w:rsid w:val="005f3b17"/>
    <w:pPr>
      <w:spacing w:lineRule="auto" w:line="240" w:before="0" w:after="0"/>
      <w:jc w:val="both"/>
    </w:pPr>
    <w:rPr>
      <w:rFonts w:ascii="Times New Roman" w:hAnsi="Times New Roman" w:eastAsia="Times New Roman" w:cs="Times New Roman"/>
      <w:sz w:val="24"/>
      <w:szCs w:val="20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908</TotalTime>
  <Application>LibreOffice/7.5.6.2$Linux_X86_64 LibreOffice_project/50$Build-2</Application>
  <AppVersion>15.0000</AppVersion>
  <Pages>3</Pages>
  <Words>664</Words>
  <Characters>4840</Characters>
  <CharactersWithSpaces>5617</CharactersWithSpaces>
  <Paragraphs>31</Paragraphs>
  <Company>Управление Росреестра по Владимирской области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2022-06-23T07:13:00Z</dcterms:created>
  <dc:creator>Пушкарская Диана Дмитриевна</dc:creator>
  <dc:description/>
  <dc:language>ru-RU</dc:language>
  <cp:lastModifiedBy/>
  <cp:lastPrinted>2021-04-20T16:11:00Z</cp:lastPrinted>
  <dcterms:modified xsi:type="dcterms:W3CDTF">2025-03-06T16:19:52Z</dcterms:modified>
  <cp:revision>101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