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/>
          <w:sz w:val="26"/>
          <w:szCs w:val="26"/>
        </w:rPr>
      </w:pPr>
      <w:r>
        <w:rPr>
          <w:rFonts w:eastAsia="Arial Unicode MS" w:cs="Times New Roman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/>
          <w:sz w:val="26"/>
          <w:szCs w:val="26"/>
        </w:rPr>
      </w:pPr>
      <w:r>
        <w:rPr>
          <w:rFonts w:eastAsia="Arial Unicode MS" w:cs="Times New Roman" w:ascii="Arial" w:hAnsi="Arial"/>
          <w:b/>
          <w:sz w:val="26"/>
          <w:szCs w:val="26"/>
        </w:rPr>
        <w:t xml:space="preserve">о </w:t>
      </w:r>
      <w:r>
        <w:rPr>
          <w:rFonts w:eastAsia="Arial Unicode MS" w:cs="Times New Roman" w:ascii="Arial" w:hAnsi="Arial"/>
          <w:b/>
          <w:color w:val="auto"/>
          <w:kern w:val="0"/>
          <w:sz w:val="26"/>
          <w:szCs w:val="26"/>
          <w:lang w:val="ru-RU" w:eastAsia="en-US" w:bidi="ar-SA"/>
        </w:rPr>
        <w:t xml:space="preserve">порядке </w:t>
      </w:r>
      <w:r>
        <w:rPr>
          <w:rFonts w:cs="Times New Roman" w:ascii="Arial" w:hAnsi="Arial"/>
          <w:b/>
          <w:sz w:val="26"/>
          <w:szCs w:val="26"/>
        </w:rPr>
        <w:t xml:space="preserve">возбуждения дела о банкротстве гражданина </w:t>
      </w:r>
    </w:p>
    <w:p>
      <w:pPr>
        <w:pStyle w:val="NoSpacing"/>
        <w:jc w:val="center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условиях наблюдающейся тенденции активного обращения граждан, обремененных долговыми обязательствами, с заявлениями о признании их банкротами, весьма актуальным становится вопрос о порядке возбуждения дела о банкротстве физического лица в арбитражном суде.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Банкротство физических лиц регулируется главой </w:t>
      </w:r>
      <w:r>
        <w:rPr>
          <w:rFonts w:cs="Times New Roman" w:ascii="Times New Roman" w:hAnsi="Times New Roman"/>
          <w:sz w:val="28"/>
          <w:szCs w:val="28"/>
          <w:lang w:val="en-US"/>
        </w:rPr>
        <w:t>X</w:t>
      </w:r>
      <w:r>
        <w:rPr>
          <w:rFonts w:cs="Times New Roman" w:ascii="Times New Roman" w:hAnsi="Times New Roman"/>
          <w:sz w:val="28"/>
          <w:szCs w:val="28"/>
        </w:rPr>
        <w:t xml:space="preserve"> Федерального закона от 26.10.2002 № 127 «О несостоятельности (банкротстве)» (Закон о банкротстве). Глава регулирует основания, порядок и последствия признания арбитражным судом гражданина несостоятельным (банкротом), очередность удовлетворения предъявляемых к нему финансовых требований, порядок применения процедур в деле о несостоятельности (банкротстве).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</w:rPr>
        <w:t>Банкротством должника-гражданина признается его неспособность в полном объеме удовлетворить требования кредиторов по денежным обязательствам, а также исполнить обязанность по уплате обязательных платежей, признанная арбитражным судом либо наступившая в результате завершения процедуры внесудебного банкротства гражданина.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пункте 2 статьи 6 Закона о банкротстве устанавливается, что производство по делу о банкротстве по общему правилу может быть возбуждено арбитражным судом при условии, что требования к должнику - физическому лицу составляют сумму в размере, не менее установленного пунктом 2 статьи 213.3 данного Закона. В связи с этим заявление о признании гражданина банкротом принимается арбитражным судом при условии, что требования к нему составляют не менее чем 500 тыс. руб.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Кроме того, еще одним признаком, необходимым для признания гражданина банкротом, является его неспособность исполнить указанные требования в течение трех месяцев с даты, когда они должны быть исполнены, если иное не предусмотрено данным </w:t>
      </w:r>
      <w:hyperlink r:id="rId3" w:tgtFrame="consultantplus://offline/ref=BC286071146B3D4B4527B6CDF250920CB224DA8D673AC06A03003CDEBEB03F117D4CCB1CC23510044F22A06F44aAL2F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Законом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(</w:t>
      </w:r>
      <w:hyperlink r:id="rId4" w:tgtFrame="consultantplus://offline/ref=BC286071146B3D4B4527B6CDF250920CB224DA8D673AC06A03003CDEBEB03F116F4C9314C33B0D0F1D6DE63A4BA370419B682164C2D0aDLBF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пункт 2 статьи 213.3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Закона о банкротстве).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З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аместитель начальника отдела правового обеспечения, по контролю (надзору) в сфере саморегулируемых организаций Управления Роман Воробьев </w:t>
      </w:r>
      <w:r>
        <w:rPr>
          <w:rFonts w:cs="Times New Roman" w:ascii="Times New Roman" w:hAnsi="Times New Roman"/>
          <w:color w:val="000000"/>
          <w:sz w:val="28"/>
          <w:szCs w:val="28"/>
        </w:rPr>
        <w:t>подчеркивает: «</w:t>
      </w:r>
      <w:r>
        <w:rPr>
          <w:rFonts w:cs="Times New Roman" w:ascii="Times New Roman" w:hAnsi="Times New Roman"/>
          <w:sz w:val="28"/>
          <w:szCs w:val="28"/>
        </w:rPr>
        <w:t>В судебной практике отмечалось, что применение той или иной процедуры (реструктуризация долгов или реализация имущества) возможно только при условии установления признаков банкротства, т.е. признанной арбитражным судом неспособности должника в полном объеме удовлетворить требования кредиторов по денежным обязательствам».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Согласно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</w:t>
      </w:r>
      <w:hyperlink r:id="rId5" w:tgtFrame="consultantplus://offline/ref=6AC65E9A88369458940A925667208080EFCB0B5AABA0E406E90E81476760C42C8D0C3B96AA2FFCB9A966050A57C3562BEDD562327247aAR6F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пункту 1 статьи 213.3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Закона о банкротстве правом на обращение в арбитражный суд с заявлением о признании гражданина банкротом обладают сам гражданин-должник, конкурсный кредитор и уполномоченный орган.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Если с заявлением о признании гражданина банкротом обращается сам гражданин-должник, </w:t>
      </w:r>
      <w:hyperlink r:id="rId6" w:tgtFrame="consultantplus://offline/ref=6AC65E9A88369458940A925667208080EFCB0B5AABA0E406E90E81476760C42C8D0C3B92A926F6BAFB3C150E1E945D37EBCD7C366C47A539aARDF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Закон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о банкротстве предусматривает как случаи, когда он обязан это сделать, так и случа</w:t>
      </w:r>
      <w:r>
        <w:rPr>
          <w:rFonts w:cs="Times New Roman" w:ascii="Times New Roman" w:hAnsi="Times New Roman"/>
          <w:sz w:val="28"/>
          <w:szCs w:val="28"/>
        </w:rPr>
        <w:t>и, когда ему предоставляется такое право.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</w:rPr>
        <w:t>Обязанность обратиться в арбитражный суд с заявлением о признании банкротом возникает у гражданина, если удовлетворение требований одного или нескольких кредиторов влечет невозможность исполнения им денежных обязательств и (или) обязанности по уплате обязательных платежей в полном объеме перед другими кредиторами, а их размер в совокупности составляет не менее чем 500 тыс. руб. Данная обязанность должна быть выполнена гражданином не позднее тридцати рабочих дней со дня, когда он узнал или должен был узнать об этом.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  <w:szCs w:val="28"/>
        </w:rPr>
        <w:t xml:space="preserve">Вместе с тем гражданин имеет право подать в арбитражный суд заявление о признании его банкротом в случае предвидения банкротства при наличии обстоятельств, очевидно свидетельствующих о том, что он не в состоянии исполнить денежные обязательства и (или) обязанность по уплате обязательных платежей в установленный срок. 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  <w:szCs w:val="28"/>
        </w:rPr>
        <w:t>При этом гражданин должен подпадать под признаки неплатежеспособности и (или) признаки недостаточности имущества (неоплатности). При этом размер неисполненных обязательств в этом случае значения не имеет.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тех случаях, когда с заявлением о признании гражданина банкротом в арбитражный суд обращается конкурсный кредитор или уполномоченный орган, необходимо вступившее в законную силу решение суда, подтверждающего требования кредиторов по денежным обязательствам, за исключением случаев, прямо указанных в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</w:t>
      </w:r>
      <w:hyperlink r:id="rId7" w:tgtFrame="consultantplus://offline/ref=267809754BB855AE7FF59BBA847D98D9B0D89CB6964B584D8529B5198C77FFFEEB97EBD50E2A106BD20842498F869BACB8D21E41B04BG3dDF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пункте 2 статьи 213.5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За</w:t>
      </w:r>
      <w:r>
        <w:rPr>
          <w:rFonts w:cs="Times New Roman" w:ascii="Times New Roman" w:hAnsi="Times New Roman"/>
          <w:sz w:val="28"/>
          <w:szCs w:val="28"/>
        </w:rPr>
        <w:t>кона о банкротстве.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</w:rPr>
        <w:t>Далее рассмотрим порядок признания гражданина банкротом в том случае, когда инициатором банкротства является он сам.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>В заявлении о признании банкротом необходимо указать, в том числе сумму требований кредиторов, размер задолженности, сведения об имеющемся у должника имуществе, обоснование невозможности удовлетворения требований кредиторов, наименование и адрес саморегулируемой организации, из числа членов которой должен быть утвержден финансовый управляющий.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</w:rPr>
        <w:t xml:space="preserve">Кроме того, к заявлению необходимо приложить документы, предусмотренные пунктом 3 статьи 213.4 Закона о банкротстве. 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</w:rPr>
        <w:t>Гражданин при подаче заявления не наделен правом выбора конкретной кандидатуры финансового управляющего</w:t>
      </w:r>
      <w:r>
        <w:rPr>
          <w:rFonts w:cs="Times New Roman" w:ascii="Times New Roman" w:hAnsi="Times New Roman"/>
        </w:rPr>
        <w:t>.</w:t>
      </w:r>
    </w:p>
    <w:p>
      <w:pPr>
        <w:pStyle w:val="Normal"/>
        <w:spacing w:lineRule="auto" w:line="240" w:before="0" w:after="1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</w:rPr>
        <w:t>Дело о банкротстве должника рассматривается арбитражным судом по месту жительства должника. Заявление может быть подано в арбитражный суд путем личного обращения (через отдел делопроизводства, канцелярию арбитражного суда), по почте либо в электронной форме с использованием сети Интернет. При обращении в суд необходимо уплатить госпошлину (300 рублей).</w:t>
      </w:r>
    </w:p>
    <w:p>
      <w:pPr>
        <w:pStyle w:val="Normal"/>
        <w:spacing w:lineRule="auto" w:line="240" w:before="0" w:after="1"/>
        <w:ind w:firstLine="708"/>
        <w:jc w:val="both"/>
        <w:rPr/>
      </w:pPr>
      <w:r>
        <w:rPr>
          <w:rFonts w:cs="Times New Roman" w:ascii="Times New Roman" w:hAnsi="Times New Roman"/>
          <w:sz w:val="28"/>
        </w:rPr>
        <w:t>Денежные средства на выплату вознаграждения финансовому управляющему и лицам, обеспечивающим исполнение возложенных на него обязанностей, если вы дадите согласие на их привлечение, подлежат внесению в депозит суда. В том числе внести их за вас может другое лицо.</w:t>
      </w:r>
    </w:p>
    <w:p>
      <w:pPr>
        <w:pStyle w:val="Normal"/>
        <w:spacing w:lineRule="auto" w:line="240" w:before="0" w:after="1"/>
        <w:ind w:firstLine="708"/>
        <w:jc w:val="both"/>
        <w:rPr/>
      </w:pPr>
      <w:r>
        <w:rPr>
          <w:rFonts w:cs="Times New Roman" w:ascii="Times New Roman" w:hAnsi="Times New Roman"/>
          <w:sz w:val="28"/>
        </w:rPr>
        <w:t xml:space="preserve">Также вы вправе ходатайствовать о предоставлении вам отсрочки внесения указанных средств до даты судебного заседания по рассмотрению обоснованности вашего заявления. </w:t>
      </w:r>
    </w:p>
    <w:p>
      <w:pPr>
        <w:pStyle w:val="Normal"/>
        <w:spacing w:lineRule="auto" w:line="240" w:before="0" w:after="1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В связи с введением процедур банкротства вам придется нести и другие расходы, в частности связанные с публикацией сведений о банкротстве в Едином федеральном реестре сведений о банкротстве или в официальном издании (газета «Коммерсантъ»), реализацией предмета залога.</w:t>
      </w:r>
    </w:p>
    <w:p>
      <w:pPr>
        <w:pStyle w:val="Normal"/>
        <w:spacing w:lineRule="auto" w:line="240" w:before="0" w:after="1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Заявление подлежит рассмотрению судом в срок не ранее 15 дней и не позднее трех месяцев с даты его принятия. По результатам рассмотрения заявления суд может вынести определение о признании заявления обоснованным и введении реструктуризации долгов гражданина. Сведения о признании заявления обоснованным и введении реструктуризации долгов гражданина публикуются в официальном издании и в Едином федеральном реестре сведений о банкротстве.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С даты вынесения судом определения, содержащего указание на введение реструктуризации долгов, наступают, в частности, такие последстви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я (</w:t>
      </w:r>
      <w:hyperlink r:id="rId8" w:tgtFrame="consultantplus://offline/ref=24857864277AFC529B95FF0CCDE227653B4A9D792442AFA839D90B2F638222E50100403B3A8FFE55797BDE227F77A9BA5E8C831F89DFF2J7G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пункты 1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, </w:t>
      </w:r>
      <w:hyperlink r:id="rId9" w:tgtFrame="consultantplus://offline/ref=24857864277AFC529B95FF0CCDE227653B4A9D792442AFA839D90B2F638222E50100403B3A8FFD55797BDE227F77A9BA5E8C831F89DFF2J7G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2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, </w:t>
      </w:r>
      <w:hyperlink r:id="rId10" w:tgtFrame="consultantplus://offline/ref=24857864277AFC529B95FF0CCDE227653B4A9D792442AFA839D90B2F638222E50100403B3A8EFF55797BDE227F77A9BA5E8C831F89DFF2J7G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5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, </w:t>
      </w:r>
      <w:hyperlink r:id="rId11" w:tgtFrame="consultantplus://offline/ref=24857864277AFC529B95FF0CCDE227653B4A9D792442AFA839D90B2F638222E5010040383C86F955797BDE227F77A9BA5E8C831F89DFF2J7G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5.1 статьи 213.11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Закона о банкротстве):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- вводится мораторий на удовлетворен</w:t>
      </w:r>
      <w:r>
        <w:rPr>
          <w:rFonts w:cs="Times New Roman" w:ascii="Times New Roman" w:hAnsi="Times New Roman"/>
          <w:sz w:val="28"/>
          <w:szCs w:val="28"/>
        </w:rPr>
        <w:t>ие требований по вашим обязательствам;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прекращается начисление неустоек (пеней, штрафов), иных финансовых санкций и процентов по вашим обязательствам, кроме текущих платежей;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снимаются ранее наложенные аресты и иные ограничения распоряжения имуществом;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сделки по приобретению и отчуждению имущества стоимостью свыше 50 тыс. руб., по получению и выдаче займов, получению кредитов, по передаче имущества в залог, а также распоряжение денежными средствами на банковских счетах (вкладах) могут совершаться вами лишь с предварительного письменного согласия финансового управляющего. Без согласия финансового управляющего вы можете распоряжаться денежными средствами на специальном банковском счете в пределах 50 тыс. руб. ежемесячно.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 xml:space="preserve">«В случае принятия арбитражным судом решения о признании гражданина банкротом арбитражный суд принимает решение о введении реализации имущества гражданина», -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отмечает з</w:t>
      </w:r>
      <w:r>
        <w:rPr>
          <w:rFonts w:eastAsia="Times New Roman" w:cs="Times New Roman" w:ascii="Times New Roman" w:hAnsi="Times New Roman"/>
          <w:color w:val="auto"/>
          <w:sz w:val="28"/>
          <w:szCs w:val="28"/>
        </w:rPr>
        <w:t xml:space="preserve">аведующий </w:t>
      </w:r>
      <w:bookmarkStart w:id="0" w:name="_GoBack_Копия_1"/>
      <w:r>
        <w:rPr>
          <w:rFonts w:eastAsia="Calibri" w:cs="Arial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 xml:space="preserve">кафедрой гражданско-правовых дисциплин Владимирского филиала РАНХиГС, кандидат юридических наук </w:t>
      </w:r>
      <w:bookmarkEnd w:id="0"/>
      <w:r>
        <w:rPr>
          <w:rFonts w:eastAsia="Calibri" w:cs="Arial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>Андрей Баринов.</w:t>
      </w:r>
      <w:r>
        <w:rPr>
          <w:rFonts w:cs="Times New Roman" w:ascii="Times New Roman" w:hAnsi="Times New Roman"/>
          <w:sz w:val="28"/>
        </w:rPr>
        <w:t xml:space="preserve">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>Реализация имущества гражданина вводится на срок не более чем шесть месяцев. Указанный срок может продлеваться арбитражным судом в отношении соответственно гражданина, не являющегося индивидуальным предпринимателем, индивидуального предпринимателя по ходатайству лиц, участвующих в деле о банкротстве.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</w:rPr>
        <w:t xml:space="preserve">В дальнейшем, производство по делу о банкротстве вплоть до завершения процедуры ведется арбитражным судом в соответствии с нормами, предусмотренными Законом о банкротстве и Арбитражным процессуальным кодексом Российской Федерации.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 xml:space="preserve">В заключение отметим, что на современном этапе развития юридической науки и экономических отношений институт банкротства физических лиц представляется действенным инструментом стабилизации финансового положения гражданина, для государства – одним из эффективных механизмов обеспечения публичных и частных интересов.  </w:t>
      </w:r>
    </w:p>
    <w:p>
      <w:pPr>
        <w:pStyle w:val="Normal"/>
        <w:spacing w:lineRule="auto" w:line="240" w:before="0" w:after="0"/>
        <w:ind w:hanging="0"/>
        <w:jc w:val="both"/>
        <w:rPr/>
      </w:pPr>
      <w:r>
        <w:rPr/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highlight w:val="none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highlight w:val="none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highlight w:val="none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highlight w:val="none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"/>
        <w:tabs>
          <w:tab w:val="clear" w:pos="708"/>
          <w:tab w:val="left" w:pos="142" w:leader="none"/>
        </w:tabs>
        <w:spacing w:before="0" w:after="160"/>
        <w:ind w:firstLine="709"/>
        <w:jc w:val="both"/>
        <w:rPr>
          <w:rFonts w:ascii="Segoe UI" w:hAnsi="Segoe UI" w:eastAsia="Calibri" w:cs="Segoe UI"/>
          <w:sz w:val="28"/>
          <w:szCs w:val="28"/>
          <w:highlight w:val="none"/>
          <w:lang w:eastAsia="en-US"/>
        </w:rPr>
      </w:pPr>
      <w:r>
        <w:rPr>
          <w:rFonts w:eastAsia="Calibri" w:cs="Segoe UI" w:ascii="Segoe UI" w:hAnsi="Segoe UI"/>
          <w:sz w:val="28"/>
          <w:szCs w:val="28"/>
          <w:lang w:eastAsia="en-US"/>
        </w:rPr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7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1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2"/>
    <w:pPr/>
    <w:rPr/>
  </w:style>
  <w:style w:type="paragraph" w:styleId="Style25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styleId="48">
    <w:name w:val="Table Grid"/>
    <w:basedOn w:val="3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lastRow">
      <w:rPr>
        <w:b/>
        <w:caps/>
        <w:color w:val="404040"/>
      </w:rPr>
      <w:tblPr/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band1Vert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67A4D8" w:themeFill="accent1" w:themeFillTint="e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A5A5A5" w:themeFill="accent3" w:themeFillTint="fe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4D2EB" w:themeFill="accent1" w:themeFillTint="75"/>
      </w:tcPr>
    </w:tblStylePr>
    <w:tblStylePr w:type="band1Vert">
      <w:tblPr/>
      <w:tcPr>
        <w:shd w:val="clear" w:color="FFFFFF" w:fill="B4D2EB" w:themeFill="accen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5B9BD5" w:themeFill="accent1"/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6C3A1" w:themeFill="accent2" w:themeFillTint="75"/>
      </w:tcPr>
    </w:tblStylePr>
    <w:tblStylePr w:type="band1Vert">
      <w:tblPr/>
      <w:tcPr>
        <w:shd w:val="clear" w:color="FFFFFF" w:fill="F6C3A1" w:themeFill="accent2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ED7D31" w:themeFill="accent2"/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6D6D6" w:themeFill="accent3" w:themeFillTint="75"/>
      </w:tcPr>
    </w:tblStylePr>
    <w:tblStylePr w:type="band1Vert">
      <w:tblPr/>
      <w:tcPr>
        <w:shd w:val="clear" w:color="FFFFFF" w:fill="D6D6D6" w:themeFill="accent3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A5A5A5" w:themeFill="accent3"/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EE189" w:themeFill="accent4" w:themeFillTint="75"/>
      </w:tcPr>
    </w:tblStylePr>
    <w:tblStylePr w:type="band1Vert">
      <w:tblPr/>
      <w:tcPr>
        <w:shd w:val="clear" w:color="FFFFFF" w:fill="FEE189" w:themeFill="accent4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FFC000" w:themeFill="accent4"/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ABFE3" w:themeFill="accent5" w:themeFillTint="75"/>
      </w:tcPr>
    </w:tblStylePr>
    <w:tblStylePr w:type="band1Vert">
      <w:tblPr/>
      <w:tcPr>
        <w:shd w:val="clear" w:color="FFFFFF" w:fill="AABFE3" w:themeFill="accent5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472C4" w:themeFill="accent5"/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EDBA8" w:themeFill="accent6" w:themeFillTint="75"/>
      </w:tcPr>
    </w:tblStylePr>
    <w:tblStylePr w:type="band1Vert">
      <w:tblPr/>
      <w:tcPr>
        <w:shd w:val="clear" w:color="FFFFFF" w:fill="BEDBA8" w:themeFill="accent6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70AD47" w:themeFill="accent6"/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  <w:tblPr/>
    </w:tblStylePr>
    <w:tblStylePr w:type="firstCol">
      <w:rPr>
        <w:b/>
        <w:color w:val="4A4A4A" w:themeColor="text1" w:themeTint="80" w:themeShade="95"/>
      </w:rPr>
      <w:tblPr/>
    </w:tblStylePr>
    <w:tblStylePr w:type="firstRow">
      <w:rPr>
        <w:b/>
        <w:color w:val="4A4A4A"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tblPr/>
    </w:tblStylePr>
    <w:tblStylePr w:type="lastRow">
      <w:rPr>
        <w:b/>
        <w:color w:val="4A4A4A" w:themeColor="text1" w:themeTint="80" w:themeShade="95"/>
      </w:rPr>
      <w:tblPr/>
    </w:tblStylePr>
    <w:tblStylePr w:type="wholeTable">
      <w:rPr>
        <w:color w:val="404040" w:themeColor="text1" w:themeTint="80" w:themeShade="95"/>
        <w:sz w:val="22"/>
      </w:rPr>
      <w:tblPr/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404040" w:themeColor="accent1" w:themeTint="80" w:themeShade="95"/>
        <w:sz w:val="22"/>
      </w:rPr>
      <w:tblPr/>
    </w:tblStylePr>
    <w:tblStylePr w:type="firstCol">
      <w:rPr>
        <w:b/>
        <w:color w:val="317BBA" w:themeColor="accent1" w:themeTint="80" w:themeShade="95"/>
      </w:rPr>
      <w:tblPr/>
    </w:tblStylePr>
    <w:tblStylePr w:type="firstRow">
      <w:rPr>
        <w:b/>
        <w:color w:val="317BBA"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  <w:tblPr/>
    </w:tblStylePr>
    <w:tblStylePr w:type="lastRow">
      <w:rPr>
        <w:b/>
        <w:color w:val="317BBA" w:themeColor="accent1" w:themeTint="80" w:themeShade="95"/>
      </w:rPr>
      <w:tblPr/>
    </w:tblStylePr>
    <w:tblStylePr w:type="wholeTable">
      <w:rPr>
        <w:color w:val="404040" w:themeColor="accent1" w:themeTint="80" w:themeShade="95"/>
        <w:sz w:val="22"/>
      </w:rPr>
      <w:tblPr/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</w:tblStylePr>
    <w:tblStylePr w:type="wholeTable">
      <w:rPr>
        <w:color w:val="404040" w:themeColor="accent2" w:themeTint="97" w:themeShade="95"/>
        <w:sz w:val="22"/>
      </w:rPr>
      <w:tblPr/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404040" w:themeColor="accent3" w:themeTint="fe" w:themeShade="95"/>
        <w:sz w:val="22"/>
      </w:rPr>
      <w:tblPr/>
    </w:tblStylePr>
    <w:tblStylePr w:type="firstCol">
      <w:rPr>
        <w:b/>
        <w:color w:val="606060" w:themeColor="accent3" w:themeTint="fe" w:themeShade="95"/>
      </w:rPr>
      <w:tblPr/>
    </w:tblStylePr>
    <w:tblStylePr w:type="firstRow">
      <w:rPr>
        <w:b/>
        <w:color w:val="606060"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  <w:tblPr/>
    </w:tblStylePr>
    <w:tblStylePr w:type="lastRow">
      <w:rPr>
        <w:b/>
        <w:color w:val="606060" w:themeColor="accent3" w:themeTint="fe" w:themeShade="95"/>
      </w:rPr>
      <w:tblPr/>
    </w:tblStylePr>
    <w:tblStylePr w:type="wholeTable">
      <w:rPr>
        <w:color w:val="404040" w:themeColor="accent3" w:themeTint="fe" w:themeShade="95"/>
        <w:sz w:val="22"/>
      </w:rPr>
      <w:tblPr/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</w:tblStylePr>
    <w:tblStylePr w:type="wholeTable">
      <w:rPr>
        <w:color w:val="404040" w:themeColor="accent4" w:themeTint="9a" w:themeShade="95"/>
        <w:sz w:val="22"/>
      </w:rPr>
      <w:tblPr/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rPr>
        <w:b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rPr>
        <w:b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val="317BBA" w:themeColor="accen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b/>
        <w:color w:val="317BBA" w:themeColor="accent1" w:themeTint="80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317BBA" w:themeColor="accent1" w:themeTint="80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b/>
        <w:color w:val="317BBA"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rPr>
        <w:b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rPr>
        <w:b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val="606060" w:themeColor="accent3" w:themeTint="fe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rPr>
        <w:b/>
        <w:color w:val="606060" w:themeColor="accent3" w:themeTint="fe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606060" w:themeColor="accent3" w:themeTint="fe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rPr>
        <w:b/>
        <w:color w:val="606060"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rPr>
        <w:b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rPr>
        <w:b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  <w:tblPr/>
    </w:tblStylePr>
    <w:tblStylePr w:type="firstCol">
      <w:pPr>
        <w:jc w:val="right"/>
      </w:pPr>
      <w:rPr>
        <w:i/>
        <w:color w:val="254374" w:themeColor="accent5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rPr>
        <w:b/>
        <w:color w:val="254374" w:themeColor="accent5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254374" w:themeColor="accent5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rPr>
        <w:b/>
        <w:color w:val="254374" w:themeColor="accent5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  <w:tblPr/>
    </w:tblStylePr>
    <w:tblStylePr w:type="firstCol">
      <w:pPr>
        <w:jc w:val="right"/>
      </w:pPr>
      <w:rPr>
        <w:i/>
        <w:color w:val="426429" w:themeColor="accent6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rPr>
        <w:b/>
        <w:color w:val="426429" w:themeColor="accent6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26429" w:themeColor="accent6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rPr>
        <w:b/>
        <w:color w:val="426429" w:themeColor="accent6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8EABDB" w:themeFill="accent5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AD08F" w:themeFill="accent6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5B9BD5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5B9BD5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4B185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F4B185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9C9C9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FD864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FFD864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8EABDB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8EABDB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AAD08F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AAD08F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  <w:tblPr/>
    </w:tblStylePr>
    <w:tblStylePr w:type="firstCol">
      <w:rPr>
        <w:b/>
        <w:color w:val="000000" w:themeColor="text1"/>
      </w:rPr>
      <w:tblPr/>
    </w:tblStylePr>
    <w:tblStylePr w:type="firstRow">
      <w:rPr>
        <w:b/>
        <w:color w:val="000000"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tblPr/>
    </w:tblStylePr>
    <w:tblStylePr w:type="lastRow">
      <w:rPr>
        <w:b/>
        <w:color w:val="000000"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404040" w:themeColor="accent1" w:themeShade="95"/>
        <w:sz w:val="22"/>
      </w:rPr>
      <w:tblPr/>
    </w:tblStylePr>
    <w:tblStylePr w:type="firstCol">
      <w:rPr>
        <w:b/>
        <w:color w:val="245D8D" w:themeColor="accent1" w:themeShade="95"/>
      </w:rPr>
      <w:tblPr/>
    </w:tblStylePr>
    <w:tblStylePr w:type="firstRow">
      <w:rPr>
        <w:b/>
        <w:color w:val="245D8D"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  <w:tblPr/>
    </w:tblStylePr>
    <w:tblStylePr w:type="lastRow">
      <w:rPr>
        <w:b/>
        <w:color w:val="245D8D"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404040" w:themeColor="accent3" w:themeTint="98" w:themeShade="95"/>
        <w:sz w:val="22"/>
      </w:rPr>
      <w:tblPr/>
    </w:tblStylePr>
    <w:tblStylePr w:type="firstCol">
      <w:rPr>
        <w:b/>
        <w:color w:val="757575" w:themeColor="accent3" w:themeTint="98" w:themeShade="95"/>
      </w:rPr>
      <w:tblPr/>
    </w:tblStylePr>
    <w:tblStylePr w:type="firstRow">
      <w:rPr>
        <w:b/>
        <w:color w:val="757575"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  <w:tblPr/>
    </w:tblStylePr>
    <w:tblStylePr w:type="lastRow">
      <w:rPr>
        <w:b/>
        <w:color w:val="757575"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404040" w:themeColor="accent5" w:themeTint="9a" w:themeShade="95"/>
        <w:sz w:val="22"/>
      </w:rPr>
      <w:tblPr/>
    </w:tblStylePr>
    <w:tblStylePr w:type="firstCol">
      <w:rPr>
        <w:b/>
        <w:color w:val="335E9E" w:themeColor="accent5" w:themeTint="9a" w:themeShade="95"/>
      </w:rPr>
      <w:tblPr/>
    </w:tblStylePr>
    <w:tblStylePr w:type="firstRow">
      <w:rPr>
        <w:b/>
        <w:color w:val="335E9E"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  <w:tblPr/>
    </w:tblStylePr>
    <w:tblStylePr w:type="lastRow">
      <w:rPr>
        <w:b/>
        <w:color w:val="335E9E"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404040" w:themeColor="accent6" w:themeTint="98" w:themeShade="95"/>
        <w:sz w:val="22"/>
      </w:rPr>
      <w:tblPr/>
    </w:tblStylePr>
    <w:tblStylePr w:type="firstCol">
      <w:rPr>
        <w:b/>
        <w:color w:val="5F8F3C" w:themeColor="accent6" w:themeTint="98" w:themeShade="95"/>
      </w:rPr>
      <w:tblPr/>
    </w:tblStylePr>
    <w:tblStylePr w:type="firstRow">
      <w:rPr>
        <w:b/>
        <w:color w:val="5F8F3C"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  <w:tblPr/>
    </w:tblStylePr>
    <w:tblStylePr w:type="lastRow">
      <w:rPr>
        <w:b/>
        <w:color w:val="5F8F3C"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rPr>
        <w:i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4A4A4A" w:themeColor="text1" w:themeTint="80" w:themeShade="95"/>
        <w:sz w:val="22"/>
      </w:rPr>
      <w:tblPr/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  <w:tblPr/>
    </w:tblStylePr>
    <w:tblStylePr w:type="firstCol">
      <w:pPr>
        <w:jc w:val="right"/>
      </w:pPr>
      <w:rPr>
        <w:i/>
        <w:color w:val="245D8D" w:themeColor="accent1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i/>
        <w:color w:val="245D8D" w:themeColor="accent1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245D8D" w:themeColor="accent1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i/>
        <w:color w:val="245D8D" w:themeColor="accent1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245D8D" w:themeColor="accent1" w:themeShade="95"/>
        <w:sz w:val="22"/>
      </w:rPr>
      <w:tblPr/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rPr>
        <w:i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C95712" w:themeColor="accent2" w:themeTint="97" w:themeShade="95"/>
        <w:sz w:val="22"/>
      </w:rPr>
      <w:tblPr/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val="757575" w:themeColor="accent3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rPr>
        <w:i/>
        <w:color w:val="757575" w:themeColor="accent3" w:themeTint="98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757575" w:themeColor="accent3" w:themeTint="98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rPr>
        <w:i/>
        <w:color w:val="757575"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757575" w:themeColor="accent3" w:themeTint="98" w:themeShade="95"/>
        <w:sz w:val="22"/>
      </w:rPr>
      <w:tblPr/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rPr>
        <w:i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CD9600" w:themeColor="accent4" w:themeTint="9a" w:themeShade="95"/>
        <w:sz w:val="22"/>
      </w:rPr>
      <w:tblPr/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val="335E9E" w:themeColor="accent5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rPr>
        <w:i/>
        <w:color w:val="335E9E" w:themeColor="accent5" w:themeTint="9a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335E9E" w:themeColor="accent5" w:themeTint="9a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rPr>
        <w:i/>
        <w:color w:val="335E9E"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335E9E" w:themeColor="accent5" w:themeTint="9a" w:themeShade="95"/>
        <w:sz w:val="22"/>
      </w:rPr>
      <w:tblPr/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val="5F8F3C" w:themeColor="accent6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rPr>
        <w:i/>
        <w:color w:val="5F8F3C" w:themeColor="accent6" w:themeTint="98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5F8F3C" w:themeColor="accent6" w:themeTint="98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rPr>
        <w:i/>
        <w:color w:val="5F8F3C"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5F8F3C" w:themeColor="accent6" w:themeTint="98" w:themeShade="95"/>
        <w:sz w:val="22"/>
      </w:rPr>
      <w:tblPr/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823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consultantplus://offline/ref=BC286071146B3D4B4527B6CDF250920CB224DA8D673AC06A03003CDEBEB03F117D4CCB1CC23510044F22A06F44aAL2F" TargetMode="External"/><Relationship Id="rId4" Type="http://schemas.openxmlformats.org/officeDocument/2006/relationships/hyperlink" Target="consultantplus://offline/ref=BC286071146B3D4B4527B6CDF250920CB224DA8D673AC06A03003CDEBEB03F116F4C9314C33B0D0F1D6DE63A4BA370419B682164C2D0aDLBF" TargetMode="External"/><Relationship Id="rId5" Type="http://schemas.openxmlformats.org/officeDocument/2006/relationships/hyperlink" Target="consultantplus://offline/ref=6AC65E9A88369458940A925667208080EFCB0B5AABA0E406E90E81476760C42C8D0C3B96AA2FFCB9A966050A57C3562BEDD562327247aAR6F" TargetMode="External"/><Relationship Id="rId6" Type="http://schemas.openxmlformats.org/officeDocument/2006/relationships/hyperlink" Target="consultantplus://offline/ref=6AC65E9A88369458940A925667208080EFCB0B5AABA0E406E90E81476760C42C8D0C3B92A926F6BAFB3C150E1E945D37EBCD7C366C47A539aARDF" TargetMode="External"/><Relationship Id="rId7" Type="http://schemas.openxmlformats.org/officeDocument/2006/relationships/hyperlink" Target="consultantplus://offline/ref=267809754BB855AE7FF59BBA847D98D9B0D89CB6964B584D8529B5198C77FFFEEB97EBD50E2A106BD20842498F869BACB8D21E41B04BG3dDF" TargetMode="External"/><Relationship Id="rId8" Type="http://schemas.openxmlformats.org/officeDocument/2006/relationships/hyperlink" Target="consultantplus://offline/ref=24857864277AFC529B95FF0CCDE227653B4A9D792442AFA839D90B2F638222E50100403B3A8FFE55797BDE227F77A9BA5E8C831F89DFF2J7G" TargetMode="External"/><Relationship Id="rId9" Type="http://schemas.openxmlformats.org/officeDocument/2006/relationships/hyperlink" Target="consultantplus://offline/ref=24857864277AFC529B95FF0CCDE227653B4A9D792442AFA839D90B2F638222E50100403B3A8FFD55797BDE227F77A9BA5E8C831F89DFF2J7G" TargetMode="External"/><Relationship Id="rId10" Type="http://schemas.openxmlformats.org/officeDocument/2006/relationships/hyperlink" Target="consultantplus://offline/ref=24857864277AFC529B95FF0CCDE227653B4A9D792442AFA839D90B2F638222E50100403B3A8EFF55797BDE227F77A9BA5E8C831F89DFF2J7G" TargetMode="External"/><Relationship Id="rId11" Type="http://schemas.openxmlformats.org/officeDocument/2006/relationships/hyperlink" Target="consultantplus://offline/ref=24857864277AFC529B95FF0CCDE227653B4A9D792442AFA839D90B2F638222E5010040383C86F955797BDE227F77A9BA5E8C831F89DFF2J7G" TargetMode="Externa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Application>LibreOffice/7.5.6.2$Linux_X86_64 LibreOffice_project/50$Build-2</Application>
  <AppVersion>15.0000</AppVersion>
  <Pages>4</Pages>
  <Words>1095</Words>
  <Characters>7585</Characters>
  <CharactersWithSpaces>8788</CharactersWithSpaces>
  <Paragraphs>43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dcterms:modified xsi:type="dcterms:W3CDTF">2025-05-20T15:39:28Z</dcterms:modified>
  <cp:revision>67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