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word/_rels/document.xml.rels" ContentType="application/vnd.openxmlformats-package.relationships+xml"/>
  <Override PartName="/word/fontTable.xml" ContentType="application/vnd.openxmlformats-officedocument.wordprocessingml.fontTable+xml"/>
  <Override PartName="/word/media/image1.png" ContentType="image/png"/>
  <Override PartName="/word/theme/theme1.xml" ContentType="application/vnd.openxmlformats-officedocument.theme+xml"/>
  <Override PartName="/word/settings.xml" ContentType="application/vnd.openxmlformats-officedocument.wordprocessingml.settings+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docProps/custom.xml" ContentType="application/vnd.openxmlformats-officedocument.custom-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Spacing"/>
        <w:tabs>
          <w:tab w:val="clear" w:pos="708"/>
          <w:tab w:val="left" w:pos="3119" w:leader="none"/>
        </w:tabs>
        <w:rPr/>
      </w:pPr>
      <w:r>
        <w:drawing>
          <wp:anchor behindDoc="0" distT="0" distB="0" distL="0" distR="114300" simplePos="0" locked="0" layoutInCell="0" allowOverlap="1" relativeHeight="3">
            <wp:simplePos x="0" y="0"/>
            <wp:positionH relativeFrom="column">
              <wp:align>left</wp:align>
            </wp:positionH>
            <wp:positionV relativeFrom="paragraph">
              <wp:posOffset>635</wp:posOffset>
            </wp:positionV>
            <wp:extent cx="1990725" cy="704850"/>
            <wp:effectExtent l="0" t="0" r="0" b="0"/>
            <wp:wrapSquare wrapText="bothSides"/>
            <wp:docPr id="1" name="Рисунок 3" descr="C:\Users\E.Kudryashova\AppData\Local\Microsoft\Windows\INetCache\Content.Word\Лого основное 2 Владимирская область.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3" descr="C:\Users\E.Kudryashova\AppData\Local\Microsoft\Windows\INetCache\Content.Word\Лого основное 2 Владимирская область.png"/>
                    <pic:cNvPicPr>
                      <a:picLocks noChangeAspect="1" noChangeArrowheads="1"/>
                    </pic:cNvPicPr>
                  </pic:nvPicPr>
                  <pic:blipFill>
                    <a:blip r:embed="rId2"/>
                    <a:stretch>
                      <a:fillRect/>
                    </a:stretch>
                  </pic:blipFill>
                  <pic:spPr bwMode="auto">
                    <a:xfrm>
                      <a:off x="0" y="0"/>
                      <a:ext cx="1990725" cy="704850"/>
                    </a:xfrm>
                    <a:prstGeom prst="rect">
                      <a:avLst/>
                    </a:prstGeom>
                  </pic:spPr>
                </pic:pic>
              </a:graphicData>
            </a:graphic>
          </wp:anchor>
        </w:drawing>
      </w:r>
      <w:r>
        <w:rPr/>
        <w:t xml:space="preserve">                                                                                                                                        </w:t>
      </w:r>
    </w:p>
    <w:p>
      <w:pPr>
        <w:pStyle w:val="NoSpacing"/>
        <w:rPr/>
      </w:pPr>
      <w:r>
        <w:rPr/>
        <w:br w:type="textWrapping" w:clear="all"/>
      </w:r>
    </w:p>
    <w:p>
      <w:pPr>
        <w:pStyle w:val="NoSpacing"/>
        <w:jc w:val="right"/>
        <w:rPr>
          <w:rFonts w:ascii="Arial" w:hAnsi="Arial" w:eastAsia="Arial Unicode MS" w:cs="Arial"/>
          <w:b/>
          <w:sz w:val="26"/>
          <w:szCs w:val="26"/>
        </w:rPr>
      </w:pPr>
      <w:r>
        <w:rPr>
          <w:rFonts w:eastAsia="Arial Unicode MS" w:cs="Arial" w:ascii="Arial" w:hAnsi="Arial"/>
          <w:b/>
          <w:sz w:val="26"/>
          <w:szCs w:val="26"/>
        </w:rPr>
      </w:r>
    </w:p>
    <w:p>
      <w:pPr>
        <w:pStyle w:val="NoSpacing"/>
        <w:jc w:val="right"/>
        <w:rPr>
          <w:rFonts w:ascii="Arial" w:hAnsi="Arial" w:eastAsia="Arial Unicode MS" w:cs="Arial"/>
          <w:b/>
          <w:sz w:val="26"/>
          <w:szCs w:val="26"/>
        </w:rPr>
      </w:pPr>
      <w:r>
        <w:rPr>
          <w:rFonts w:eastAsia="Arial Unicode MS" w:cs="Arial" w:ascii="Arial" w:hAnsi="Arial"/>
          <w:b/>
          <w:sz w:val="26"/>
          <w:szCs w:val="26"/>
        </w:rPr>
        <w:t>ПРЕСС-РЕЛИЗ</w:t>
      </w:r>
    </w:p>
    <w:p>
      <w:pPr>
        <w:pStyle w:val="Normal"/>
        <w:rPr/>
      </w:pPr>
      <w:r>
        <w:rPr/>
      </w:r>
    </w:p>
    <w:p>
      <w:pPr>
        <w:pStyle w:val="Normal"/>
        <w:spacing w:lineRule="auto" w:line="240" w:before="0" w:after="0"/>
        <w:ind w:firstLine="709"/>
        <w:jc w:val="both"/>
        <w:rPr>
          <w:rFonts w:ascii="Times New Roman" w:hAnsi="Times New Roman" w:cs="Times New Roman"/>
          <w:sz w:val="24"/>
          <w:szCs w:val="24"/>
        </w:rPr>
      </w:pPr>
      <w:r>
        <w:rPr>
          <w:rFonts w:cs="Times New Roman" w:ascii="Times New Roman" w:hAnsi="Times New Roman"/>
          <w:sz w:val="24"/>
          <w:szCs w:val="24"/>
        </w:rPr>
      </w:r>
    </w:p>
    <w:p>
      <w:pPr>
        <w:pStyle w:val="NoSpacing"/>
        <w:jc w:val="center"/>
        <w:rPr>
          <w:rFonts w:ascii="Arial" w:hAnsi="Arial" w:eastAsia="Arial Unicode MS" w:cs="Arial"/>
          <w:b/>
          <w:sz w:val="26"/>
          <w:szCs w:val="26"/>
        </w:rPr>
      </w:pPr>
      <w:r>
        <w:rPr>
          <w:rFonts w:eastAsia="Arial Unicode MS" w:cs="Arial" w:ascii="Arial" w:hAnsi="Arial"/>
          <w:b/>
          <w:sz w:val="26"/>
          <w:szCs w:val="26"/>
        </w:rPr>
        <w:t xml:space="preserve">Управление Росреестра по Владимирской области информирует </w:t>
      </w:r>
    </w:p>
    <w:p>
      <w:pPr>
        <w:pStyle w:val="NoSpacing"/>
        <w:jc w:val="center"/>
        <w:rPr>
          <w:rFonts w:ascii="Arial" w:hAnsi="Arial" w:eastAsia="Arial Unicode MS" w:cs="Arial"/>
          <w:b/>
          <w:sz w:val="26"/>
          <w:szCs w:val="26"/>
        </w:rPr>
      </w:pPr>
      <w:r>
        <w:rPr>
          <w:rFonts w:eastAsia="Arial Unicode MS" w:cs="Arial" w:ascii="Arial" w:hAnsi="Arial"/>
          <w:b/>
          <w:sz w:val="26"/>
          <w:szCs w:val="26"/>
        </w:rPr>
        <w:t xml:space="preserve">о </w:t>
      </w:r>
      <w:r>
        <w:rPr>
          <w:rFonts w:eastAsia="Arial Unicode MS" w:cs="Arial" w:ascii="Arial" w:hAnsi="Arial"/>
          <w:b/>
          <w:color w:val="000000"/>
          <w:sz w:val="28"/>
          <w:szCs w:val="28"/>
        </w:rPr>
        <w:t>р</w:t>
      </w:r>
      <w:r>
        <w:rPr>
          <w:rFonts w:eastAsia="Arial Unicode MS" w:cs="Arial" w:ascii="Arial" w:hAnsi="Arial"/>
          <w:b/>
          <w:color w:val="auto"/>
          <w:kern w:val="0"/>
          <w:sz w:val="26"/>
          <w:szCs w:val="26"/>
          <w:lang w:val="ru-RU" w:eastAsia="en-US" w:bidi="ar-SA"/>
        </w:rPr>
        <w:t>аскрытии информации в процедурах банкротства юридических лиц</w:t>
      </w:r>
    </w:p>
    <w:p>
      <w:pPr>
        <w:pStyle w:val="NormalWeb"/>
        <w:shd w:val="clear" w:color="auto" w:fill="FFFFFF"/>
        <w:spacing w:beforeAutospacing="0" w:before="0" w:afterAutospacing="0" w:after="0"/>
        <w:jc w:val="both"/>
        <w:rPr>
          <w:rFonts w:ascii="Arial" w:hAnsi="Arial" w:eastAsia="Arial Unicode MS" w:cs="Arial"/>
          <w:b/>
          <w:color w:val="auto"/>
          <w:kern w:val="0"/>
          <w:sz w:val="26"/>
          <w:szCs w:val="26"/>
          <w:lang w:val="ru-RU" w:eastAsia="en-US" w:bidi="ar-SA"/>
        </w:rPr>
      </w:pPr>
      <w:r>
        <w:rPr>
          <w:rFonts w:eastAsia="Arial Unicode MS" w:cs="Arial" w:ascii="Arial" w:hAnsi="Arial"/>
          <w:b/>
          <w:color w:val="auto"/>
          <w:kern w:val="0"/>
          <w:sz w:val="26"/>
          <w:szCs w:val="26"/>
          <w:lang w:val="ru-RU" w:eastAsia="en-US" w:bidi="ar-SA"/>
        </w:rPr>
      </w:r>
    </w:p>
    <w:p>
      <w:pPr>
        <w:pStyle w:val="NormalWeb"/>
        <w:shd w:val="clear" w:color="auto" w:fill="FFFFFF"/>
        <w:spacing w:lineRule="auto" w:line="240" w:beforeAutospacing="0" w:before="0" w:afterAutospacing="0" w:after="0"/>
        <w:ind w:firstLine="708"/>
        <w:jc w:val="both"/>
        <w:rPr/>
      </w:pPr>
      <w:r>
        <w:rPr>
          <w:color w:val="000000"/>
          <w:sz w:val="28"/>
          <w:szCs w:val="28"/>
        </w:rPr>
        <w:t>Одним из основных принципов процедур банкротства юридических лиц является информационная открытость таких процедур, реализация которой позволяет всем без исключения заинтересованным лицам без взимания платы получить из установленных законодательством информационных ресурсов сведения о любой процедуре банкротства, находящейся в производстве арбитражных судов на территории Российской Федерации.</w:t>
      </w:r>
    </w:p>
    <w:p>
      <w:pPr>
        <w:pStyle w:val="NormalWeb"/>
        <w:shd w:val="clear" w:color="auto" w:fill="FFFFFF"/>
        <w:spacing w:lineRule="auto" w:line="240" w:beforeAutospacing="0" w:before="0" w:afterAutospacing="0" w:after="0"/>
        <w:ind w:firstLine="708"/>
        <w:jc w:val="both"/>
        <w:rPr/>
      </w:pPr>
      <w:r>
        <w:rPr>
          <w:color w:val="000000"/>
          <w:sz w:val="28"/>
          <w:szCs w:val="28"/>
        </w:rPr>
        <w:t>Сведения, подлежащие опубликованию в соответствии с Федеральным законом от 26.10.2002 № 127-ФЗ «О несостоятельности (банкротстве) (Закон о банкротстве), при условии их предварительной оплаты включаются в Единый федеральный реестр сведений о банкротстве (ЕФРСБ) и опубликовываются в официальном издании, определенном Правительством Российской Федерации.</w:t>
      </w:r>
    </w:p>
    <w:p>
      <w:pPr>
        <w:pStyle w:val="NormalWeb"/>
        <w:shd w:val="clear" w:color="auto" w:fill="FFFFFF"/>
        <w:spacing w:lineRule="auto" w:line="240" w:beforeAutospacing="0" w:before="0" w:afterAutospacing="0" w:after="0"/>
        <w:ind w:firstLine="708"/>
        <w:jc w:val="both"/>
        <w:rPr/>
      </w:pPr>
      <w:r>
        <w:rPr>
          <w:color w:val="000000"/>
          <w:sz w:val="28"/>
          <w:szCs w:val="28"/>
        </w:rPr>
        <w:t>Распоряжением Правительства РФ от 21.07.2008 № 1049-р «Об официальном издании, осуществляющем опубликование сведений, предусмотренных Законом о банкротстве, в качестве официального издания, осуществляющего опубликование таких сведений, определена газета «Коммерсантъ».</w:t>
      </w:r>
    </w:p>
    <w:p>
      <w:pPr>
        <w:pStyle w:val="NormalWeb"/>
        <w:shd w:val="clear" w:color="auto" w:fill="FFFFFF"/>
        <w:spacing w:lineRule="auto" w:line="240" w:beforeAutospacing="0" w:before="0" w:afterAutospacing="0" w:after="0"/>
        <w:ind w:firstLine="708"/>
        <w:jc w:val="both"/>
        <w:rPr/>
      </w:pPr>
      <w:r>
        <w:rPr>
          <w:color w:val="000000"/>
          <w:sz w:val="28"/>
          <w:szCs w:val="28"/>
        </w:rPr>
        <w:t>Таким образом, действующим законодательством установлено два информационных ресурса, в которых подлежит раскрытию информация о банкротстве юридических лиц – ЕФРСБ (https://old.bankrot.fedresurs.ru/) и газета «Коммерсантъ» (https://www.kommersant.ru/).</w:t>
      </w:r>
    </w:p>
    <w:p>
      <w:pPr>
        <w:pStyle w:val="NormalWeb"/>
        <w:shd w:val="clear" w:color="auto" w:fill="FFFFFF"/>
        <w:spacing w:lineRule="auto" w:line="240" w:beforeAutospacing="0" w:before="0" w:afterAutospacing="0" w:after="0"/>
        <w:ind w:firstLine="708"/>
        <w:jc w:val="both"/>
        <w:rPr/>
      </w:pPr>
      <w:r>
        <w:rPr>
          <w:color w:val="000000"/>
          <w:sz w:val="28"/>
          <w:szCs w:val="28"/>
        </w:rPr>
        <w:t xml:space="preserve">«Сведения, содержащиеся в указанных информационных ресурсах являются открытыми и общедоступными», - </w:t>
      </w:r>
      <w:r>
        <w:rPr>
          <w:color w:val="000000"/>
          <w:sz w:val="28"/>
          <w:szCs w:val="28"/>
        </w:rPr>
        <w:t>отметил заместитель начальника отдела правового обеспечения, по контролю (надзору) в сфере саморегулируемых организаций Управления Роман Воробьев</w:t>
      </w:r>
      <w:r>
        <w:rPr>
          <w:color w:val="000000"/>
          <w:sz w:val="28"/>
          <w:szCs w:val="28"/>
        </w:rPr>
        <w:t>.</w:t>
      </w:r>
    </w:p>
    <w:p>
      <w:pPr>
        <w:pStyle w:val="NormalWeb"/>
        <w:shd w:val="clear" w:color="auto" w:fill="FFFFFF"/>
        <w:spacing w:lineRule="auto" w:line="240" w:beforeAutospacing="0" w:before="0" w:afterAutospacing="0" w:after="0"/>
        <w:ind w:firstLine="708"/>
        <w:jc w:val="both"/>
        <w:rPr/>
      </w:pPr>
      <w:r>
        <w:rPr>
          <w:color w:val="000000"/>
          <w:sz w:val="28"/>
          <w:szCs w:val="28"/>
        </w:rPr>
        <w:t>Основной перечень обязательных сведений, раскрытие которых предусмотрено Законом о банкротстве в отношении процедур банкротства юридических лиц, закреплен в статье 28.</w:t>
      </w:r>
    </w:p>
    <w:p>
      <w:pPr>
        <w:pStyle w:val="NormalWeb"/>
        <w:shd w:val="clear" w:color="auto" w:fill="FFFFFF"/>
        <w:spacing w:lineRule="auto" w:line="240" w:beforeAutospacing="0" w:before="0" w:afterAutospacing="0" w:after="0"/>
        <w:ind w:firstLine="708"/>
        <w:jc w:val="both"/>
        <w:rPr/>
      </w:pPr>
      <w:r>
        <w:rPr>
          <w:color w:val="000000"/>
          <w:sz w:val="28"/>
          <w:szCs w:val="28"/>
        </w:rPr>
        <w:t>Согласно пункта 6 статьи 28 Закона о банкротстве в ходе процедур, применяемых в деле о банкротстве гражданина, обязательному опубликованию подлежат сведения:</w:t>
      </w:r>
    </w:p>
    <w:p>
      <w:pPr>
        <w:pStyle w:val="NormalWeb"/>
        <w:shd w:val="clear" w:color="auto" w:fill="FFFFFF"/>
        <w:spacing w:lineRule="auto" w:line="240" w:beforeAutospacing="0" w:before="0" w:afterAutospacing="0" w:after="0"/>
        <w:ind w:firstLine="708"/>
        <w:jc w:val="both"/>
        <w:rPr/>
      </w:pPr>
      <w:r>
        <w:rPr>
          <w:color w:val="000000" w:themeColor="text1"/>
          <w:sz w:val="28"/>
          <w:szCs w:val="28"/>
        </w:rPr>
        <w:t>- о введении наблюдения, финансового оздоровления, внешнего управления, о признании должника банкротом и об открытии конкурсного производства;</w:t>
      </w:r>
    </w:p>
    <w:p>
      <w:pPr>
        <w:pStyle w:val="NormalWeb"/>
        <w:shd w:val="clear" w:color="auto" w:fill="FFFFFF"/>
        <w:spacing w:lineRule="auto" w:line="240" w:beforeAutospacing="0" w:before="0" w:afterAutospacing="0" w:after="0"/>
        <w:ind w:firstLine="708"/>
        <w:jc w:val="both"/>
        <w:rPr/>
      </w:pPr>
      <w:r>
        <w:rPr>
          <w:color w:val="000000" w:themeColor="text1"/>
          <w:sz w:val="28"/>
          <w:szCs w:val="28"/>
        </w:rPr>
        <w:t>- о прекращении производства по делу о банкротстве;</w:t>
      </w:r>
    </w:p>
    <w:p>
      <w:pPr>
        <w:pStyle w:val="NormalWeb"/>
        <w:shd w:val="clear" w:color="auto" w:fill="FFFFFF"/>
        <w:spacing w:lineRule="auto" w:line="240" w:beforeAutospacing="0" w:before="0" w:afterAutospacing="0" w:after="0"/>
        <w:ind w:firstLine="708"/>
        <w:jc w:val="both"/>
        <w:rPr/>
      </w:pPr>
      <w:r>
        <w:rPr>
          <w:color w:val="000000" w:themeColor="text1"/>
          <w:sz w:val="28"/>
          <w:szCs w:val="28"/>
        </w:rPr>
        <w:t>- об утверждении, отстранении или освобождении арбитражного управляющего;</w:t>
      </w:r>
    </w:p>
    <w:p>
      <w:pPr>
        <w:pStyle w:val="NormalWeb"/>
        <w:shd w:val="clear" w:color="auto" w:fill="FFFFFF"/>
        <w:spacing w:lineRule="auto" w:line="240" w:beforeAutospacing="0" w:before="0" w:afterAutospacing="0" w:after="0"/>
        <w:ind w:firstLine="708"/>
        <w:jc w:val="both"/>
        <w:rPr/>
      </w:pPr>
      <w:r>
        <w:rPr>
          <w:color w:val="000000" w:themeColor="text1"/>
          <w:sz w:val="28"/>
          <w:szCs w:val="28"/>
        </w:rPr>
        <w:t>- об удовлетворении заявлений третьих лиц о намерении погасить обязательства должника;</w:t>
      </w:r>
    </w:p>
    <w:p>
      <w:pPr>
        <w:pStyle w:val="NormalWeb"/>
        <w:shd w:val="clear" w:color="auto" w:fill="FFFFFF"/>
        <w:spacing w:lineRule="auto" w:line="240" w:beforeAutospacing="0" w:before="0" w:afterAutospacing="0" w:after="0"/>
        <w:ind w:firstLine="708"/>
        <w:jc w:val="both"/>
        <w:rPr/>
      </w:pPr>
      <w:r>
        <w:rPr>
          <w:color w:val="000000" w:themeColor="text1"/>
          <w:sz w:val="28"/>
          <w:szCs w:val="28"/>
        </w:rPr>
        <w:t>- о проведении торгов по продаже имущества должника и о результатах проведения торгов;</w:t>
      </w:r>
    </w:p>
    <w:p>
      <w:pPr>
        <w:pStyle w:val="NormalWeb"/>
        <w:shd w:val="clear" w:color="auto" w:fill="FFFFFF"/>
        <w:spacing w:lineRule="auto" w:line="240" w:beforeAutospacing="0" w:before="0" w:afterAutospacing="0" w:after="0"/>
        <w:ind w:firstLine="708"/>
        <w:jc w:val="both"/>
        <w:rPr/>
      </w:pPr>
      <w:r>
        <w:rPr>
          <w:color w:val="000000" w:themeColor="text1"/>
          <w:sz w:val="28"/>
          <w:szCs w:val="28"/>
        </w:rPr>
        <w:t>- об отмене или изменении указанных сведений.</w:t>
      </w:r>
    </w:p>
    <w:p>
      <w:pPr>
        <w:pStyle w:val="NormalWeb"/>
        <w:shd w:val="clear" w:color="auto" w:fill="FFFFFF"/>
        <w:spacing w:lineRule="auto" w:line="240" w:beforeAutospacing="0" w:before="0" w:afterAutospacing="0" w:after="0"/>
        <w:ind w:firstLine="708"/>
        <w:jc w:val="both"/>
        <w:rPr/>
      </w:pPr>
      <w:r>
        <w:rPr>
          <w:color w:val="000000"/>
          <w:sz w:val="28"/>
          <w:szCs w:val="28"/>
        </w:rPr>
        <w:t>Кроме того, Законом о банкротстве предусмотрено опубликование иных сведений, например, информации о результатах инвентаризации имущества должника, его оценки, о требованиях кредиторов к должнику, о собраниях кредиторов, об оспаривании сделок, о привлечении контролирующих должника лиц к субсидиарной ответственности по обязательствам должника и других.</w:t>
      </w:r>
    </w:p>
    <w:p>
      <w:pPr>
        <w:pStyle w:val="NormalWeb"/>
        <w:shd w:val="clear" w:color="auto" w:fill="FFFFFF"/>
        <w:spacing w:lineRule="auto" w:line="240" w:beforeAutospacing="0" w:before="0" w:afterAutospacing="0" w:after="0"/>
        <w:ind w:firstLine="708"/>
        <w:jc w:val="both"/>
        <w:rPr/>
      </w:pPr>
      <w:r>
        <w:rPr>
          <w:color w:val="000000"/>
          <w:sz w:val="28"/>
          <w:szCs w:val="28"/>
        </w:rPr>
        <w:t>За неисполнение (ненадлежащее исполнение) обязанности по раскрытию информации в процедурах банкротства юридических лиц для арбитражных управляющих, сопровождающих процедуры банкротства, частью 3 статьи 14.13 Кодекса Российской Федерации об административных правонарушениях предусмотрена административная ответственность в виде штрафа от 25 000 до 50 000 рублей.</w:t>
      </w:r>
    </w:p>
    <w:p>
      <w:pPr>
        <w:pStyle w:val="NormalWeb"/>
        <w:shd w:val="clear" w:color="auto" w:fill="FFFFFF"/>
        <w:spacing w:lineRule="auto" w:line="240" w:beforeAutospacing="0" w:before="0" w:afterAutospacing="0" w:after="0"/>
        <w:ind w:firstLine="708"/>
        <w:jc w:val="both"/>
        <w:rPr/>
      </w:pPr>
      <w:r>
        <w:rPr>
          <w:color w:val="000000"/>
          <w:sz w:val="28"/>
          <w:szCs w:val="28"/>
        </w:rPr>
        <w:t xml:space="preserve">«Вопрос раскрытия информации в банкротстве юридических лиц строго регламентирован действующим законодательством о банкротстве, правовые нормы которого определяют объем информации, подлежащей опубликованию и сроки ее размещения в информационных ресурсах», - </w:t>
      </w:r>
      <w:r>
        <w:rPr>
          <w:rFonts w:eastAsia="Times New Roman" w:cs="Times New Roman"/>
          <w:color w:val="000000"/>
          <w:sz w:val="28"/>
          <w:szCs w:val="28"/>
        </w:rPr>
        <w:t>отмечает з</w:t>
      </w:r>
      <w:r>
        <w:rPr>
          <w:rFonts w:eastAsia="Times New Roman" w:cs="Times New Roman"/>
          <w:color w:val="auto"/>
          <w:sz w:val="28"/>
          <w:szCs w:val="28"/>
        </w:rPr>
        <w:t xml:space="preserve">аведующий </w:t>
      </w:r>
      <w:bookmarkStart w:id="0" w:name="_GoBack_Копия_1"/>
      <w:r>
        <w:rPr>
          <w:rFonts w:eastAsia="Calibri" w:cs="Arial" w:cstheme="minorBidi" w:eastAsiaTheme="minorHAnsi"/>
          <w:color w:val="auto"/>
          <w:kern w:val="0"/>
          <w:sz w:val="28"/>
          <w:szCs w:val="28"/>
          <w:lang w:val="ru-RU" w:eastAsia="en-US" w:bidi="ar-SA"/>
        </w:rPr>
        <w:t xml:space="preserve">кафедрой гражданско-правовых дисциплин Владимирского филиала РАНХиГС, кандидат юридических наук </w:t>
      </w:r>
      <w:bookmarkEnd w:id="0"/>
      <w:r>
        <w:rPr>
          <w:rFonts w:eastAsia="Calibri" w:cs="Arial" w:cstheme="minorBidi" w:eastAsiaTheme="minorHAnsi"/>
          <w:color w:val="auto"/>
          <w:kern w:val="0"/>
          <w:sz w:val="28"/>
          <w:szCs w:val="28"/>
          <w:lang w:val="ru-RU" w:eastAsia="en-US" w:bidi="ar-SA"/>
        </w:rPr>
        <w:t>Андрей Баринов.</w:t>
      </w:r>
    </w:p>
    <w:p>
      <w:pPr>
        <w:pStyle w:val="NormalWeb"/>
        <w:shd w:val="clear" w:color="auto" w:fill="FFFFFF"/>
        <w:spacing w:lineRule="auto" w:line="240" w:beforeAutospacing="0" w:before="0" w:afterAutospacing="0" w:after="0"/>
        <w:ind w:firstLine="708"/>
        <w:jc w:val="both"/>
        <w:rPr/>
      </w:pPr>
      <w:r>
        <w:rPr>
          <w:color w:val="000000"/>
          <w:sz w:val="28"/>
          <w:szCs w:val="28"/>
        </w:rPr>
        <w:t>Также необходимо отметить, что соблюдение правил раскрытия информации о процедурах банкротства обеспечивает возможность осуществления надлежащего контроля со стороны кредиторов, уполномоченных органов и других заинтересованных лиц как за процедурой банкротства, так и за действиями арбитражных управляющих на предмет соблюдения ими требований законодательства о банкротстве.</w:t>
      </w:r>
    </w:p>
    <w:p>
      <w:pPr>
        <w:pStyle w:val="NormalWeb"/>
        <w:shd w:val="clear" w:color="auto" w:fill="FFFFFF"/>
        <w:spacing w:lineRule="auto" w:line="240" w:beforeAutospacing="0" w:before="0" w:afterAutospacing="0" w:after="0"/>
        <w:ind w:firstLine="708"/>
        <w:jc w:val="both"/>
        <w:rPr>
          <w:color w:val="000000"/>
          <w:sz w:val="28"/>
          <w:szCs w:val="28"/>
          <w:highlight w:val="none"/>
        </w:rPr>
      </w:pPr>
      <w:r>
        <w:rPr>
          <w:color w:val="000000"/>
          <w:sz w:val="28"/>
          <w:szCs w:val="28"/>
        </w:rPr>
      </w:r>
    </w:p>
    <w:p>
      <w:pPr>
        <w:pStyle w:val="NoSpacing"/>
        <w:spacing w:lineRule="auto" w:line="240"/>
        <w:ind w:firstLine="708"/>
        <w:jc w:val="both"/>
        <w:rPr>
          <w:rFonts w:ascii="Times New Roman" w:hAnsi="Times New Roman" w:eastAsia="Calibri" w:cs="Times New Roman" w:eastAsiaTheme="minorHAnsi"/>
          <w:color w:val="auto"/>
          <w:kern w:val="0"/>
          <w:sz w:val="28"/>
          <w:szCs w:val="28"/>
          <w:lang w:val="ru-RU" w:eastAsia="en-US" w:bidi="ar-SA"/>
        </w:rPr>
      </w:pPr>
      <w:r>
        <w:rPr>
          <w:rFonts w:eastAsia="Calibri" w:cs="Times New Roman" w:eastAsiaTheme="minorHAnsi" w:ascii="Times New Roman" w:hAnsi="Times New Roman"/>
          <w:color w:val="auto"/>
          <w:kern w:val="0"/>
          <w:sz w:val="28"/>
          <w:szCs w:val="28"/>
          <w:lang w:val="ru-RU" w:eastAsia="en-US" w:bidi="ar-SA"/>
        </w:rPr>
      </w:r>
    </w:p>
    <w:p>
      <w:pPr>
        <w:pStyle w:val="NoSpacing"/>
        <w:spacing w:lineRule="auto" w:line="240"/>
        <w:ind w:firstLine="708"/>
        <w:jc w:val="both"/>
        <w:rPr>
          <w:rFonts w:ascii="Times New Roman" w:hAnsi="Times New Roman" w:eastAsia="Calibri" w:cs="Times New Roman" w:eastAsiaTheme="minorHAnsi"/>
          <w:color w:val="auto"/>
          <w:kern w:val="0"/>
          <w:sz w:val="28"/>
          <w:szCs w:val="28"/>
          <w:lang w:val="ru-RU" w:eastAsia="en-US" w:bidi="ar-SA"/>
        </w:rPr>
      </w:pPr>
      <w:r>
        <w:rPr>
          <w:rFonts w:eastAsia="Calibri" w:cs="Times New Roman" w:eastAsiaTheme="minorHAnsi" w:ascii="Times New Roman" w:hAnsi="Times New Roman"/>
          <w:color w:val="auto"/>
          <w:kern w:val="0"/>
          <w:sz w:val="28"/>
          <w:szCs w:val="28"/>
          <w:lang w:val="ru-RU" w:eastAsia="en-US" w:bidi="ar-SA"/>
        </w:rPr>
      </w:r>
    </w:p>
    <w:p>
      <w:pPr>
        <w:pStyle w:val="BodyTextIndent3"/>
        <w:spacing w:before="0" w:after="0"/>
        <w:ind w:left="0" w:firstLine="709"/>
        <w:contextualSpacing/>
        <w:jc w:val="right"/>
        <w:rPr>
          <w:i/>
          <w:i/>
          <w:color w:val="201600"/>
          <w:sz w:val="24"/>
          <w:szCs w:val="24"/>
        </w:rPr>
      </w:pPr>
      <w:r>
        <w:rPr>
          <w:i/>
          <w:color w:val="201600"/>
          <w:sz w:val="24"/>
          <w:szCs w:val="24"/>
        </w:rPr>
        <w:t xml:space="preserve">Материал подготовлен Управлением Росреестра </w:t>
      </w:r>
    </w:p>
    <w:p>
      <w:pPr>
        <w:pStyle w:val="BodyTextIndent3"/>
        <w:spacing w:before="0" w:after="0"/>
        <w:ind w:left="0" w:firstLine="709"/>
        <w:contextualSpacing/>
        <w:jc w:val="right"/>
        <w:rPr>
          <w:i/>
          <w:i/>
          <w:color w:val="201600"/>
          <w:sz w:val="24"/>
          <w:szCs w:val="24"/>
        </w:rPr>
      </w:pPr>
      <w:r>
        <w:rPr>
          <w:i/>
          <w:color w:val="201600"/>
          <w:sz w:val="24"/>
          <w:szCs w:val="24"/>
        </w:rPr>
        <w:t>по Владимирской области</w:t>
      </w:r>
    </w:p>
    <w:p>
      <w:pPr>
        <w:pStyle w:val="Normal"/>
        <w:ind w:firstLine="709"/>
        <w:jc w:val="both"/>
        <w:rPr>
          <w:rFonts w:ascii="Segoe UI" w:hAnsi="Segoe UI" w:cs="Segoe UI"/>
          <w:b/>
          <w:color w:val="0070C0"/>
          <w:lang w:eastAsia="sk-SK"/>
        </w:rPr>
      </w:pPr>
      <w:r>
        <w:rPr>
          <w:rFonts w:cs="Segoe UI" w:ascii="Segoe UI" w:hAnsi="Segoe UI"/>
          <w:b/>
          <w:color w:val="0070C0"/>
          <w:lang w:eastAsia="sk-SK"/>
        </w:rPr>
        <mc:AlternateContent>
          <mc:Choice Requires="wps">
            <w:drawing>
              <wp:anchor behindDoc="0" distT="8890" distB="8255" distL="8255" distR="8890" simplePos="0" locked="0" layoutInCell="1" allowOverlap="1" relativeHeight="2" wp14:anchorId="0ACE44A2">
                <wp:simplePos x="0" y="0"/>
                <wp:positionH relativeFrom="column">
                  <wp:posOffset>-75565</wp:posOffset>
                </wp:positionH>
                <wp:positionV relativeFrom="paragraph">
                  <wp:posOffset>48895</wp:posOffset>
                </wp:positionV>
                <wp:extent cx="6000750" cy="635"/>
                <wp:effectExtent l="8255" t="8890" r="8890" b="8255"/>
                <wp:wrapNone/>
                <wp:docPr id="2" name="Прямая со стрелкой 2"/>
                <a:graphic xmlns:a="http://schemas.openxmlformats.org/drawingml/2006/main">
                  <a:graphicData uri="http://schemas.microsoft.com/office/word/2010/wordprocessingShape">
                    <wps:wsp>
                      <wps:cNvSpPr/>
                      <wps:spPr>
                        <a:xfrm>
                          <a:off x="0" y="0"/>
                          <a:ext cx="6000840" cy="720"/>
                        </a:xfrm>
                        <a:prstGeom prst="straightConnector1">
                          <a:avLst/>
                        </a:prstGeom>
                        <a:noFill/>
                        <a:ln w="15875">
                          <a:solidFill>
                            <a:srgbClr val="0070c0"/>
                          </a:solidFill>
                          <a:round/>
                        </a:ln>
                      </wps:spPr>
                      <wps:style>
                        <a:lnRef idx="0"/>
                        <a:fillRef idx="0"/>
                        <a:effectRef idx="0"/>
                        <a:fontRef idx="minor"/>
                      </wps:style>
                      <wps:bodyPr/>
                    </wps:wsp>
                  </a:graphicData>
                </a:graphic>
              </wp:anchor>
            </w:drawing>
          </mc:Choice>
          <mc:Fallback>
            <w:pict>
              <v:shapetype id="_x0000_t32" coordsize="21600,21600" o:spt="32" path="m,l21600,21600nfe">
                <v:stroke joinstyle="miter"/>
                <v:path gradientshapeok="t" o:connecttype="rect" textboxrect="0,0,21600,21600"/>
              </v:shapetype>
              <v:shape id="shape_0" ID="Прямая со стрелкой 2" path="m0,0l-2147483648,-2147483647e" stroked="t" o:allowincell="f" style="position:absolute;margin-left:-5.95pt;margin-top:3.85pt;width:472.45pt;height:0pt;mso-wrap-style:none;v-text-anchor:middle" wp14:anchorId="0ACE44A2" type="_x0000_t32">
                <v:fill o:detectmouseclick="t" on="false"/>
                <v:stroke color="#0070c0" weight="15840" joinstyle="round" endcap="flat"/>
                <w10:wrap type="none"/>
              </v:shape>
            </w:pict>
          </mc:Fallback>
        </mc:AlternateContent>
      </w:r>
    </w:p>
    <w:p>
      <w:pPr>
        <w:pStyle w:val="Normal"/>
        <w:jc w:val="both"/>
        <w:rPr>
          <w:rFonts w:ascii="Segoe UI" w:hAnsi="Segoe UI" w:cs="Segoe UI"/>
          <w:b/>
          <w:lang w:eastAsia="sk-SK"/>
        </w:rPr>
      </w:pPr>
      <w:r>
        <w:rPr>
          <w:rFonts w:cs="Segoe UI" w:ascii="Segoe UI" w:hAnsi="Segoe UI"/>
          <w:b/>
          <w:lang w:eastAsia="sk-SK"/>
        </w:rPr>
        <w:t>Контакты для СМИ</w:t>
      </w:r>
    </w:p>
    <w:p>
      <w:pPr>
        <w:pStyle w:val="NormalWeb"/>
        <w:spacing w:before="0" w:after="0"/>
        <w:rPr>
          <w:rFonts w:ascii="Times New Roman" w:hAnsi="Times New Roman"/>
          <w:sz w:val="24"/>
          <w:szCs w:val="24"/>
        </w:rPr>
      </w:pPr>
      <w:r>
        <w:rPr>
          <w:rFonts w:eastAsia="Calibri" w:cs="Segoe UI"/>
          <w:sz w:val="24"/>
          <w:szCs w:val="24"/>
          <w:lang w:eastAsia="en-US"/>
        </w:rPr>
        <w:t>Управление Росреестра по Владимирской области</w:t>
      </w:r>
    </w:p>
    <w:p>
      <w:pPr>
        <w:pStyle w:val="NormalWeb"/>
        <w:spacing w:before="0" w:after="0"/>
        <w:rPr>
          <w:rFonts w:ascii="Times New Roman" w:hAnsi="Times New Roman"/>
          <w:sz w:val="24"/>
          <w:szCs w:val="24"/>
        </w:rPr>
      </w:pPr>
      <w:r>
        <w:rPr>
          <w:rFonts w:eastAsia="Calibri" w:cs="Segoe UI"/>
          <w:sz w:val="24"/>
          <w:szCs w:val="24"/>
          <w:lang w:eastAsia="en-US"/>
        </w:rPr>
        <w:t>г. Владимир, ул. Офицерская, д. 33-а</w:t>
      </w:r>
    </w:p>
    <w:p>
      <w:pPr>
        <w:pStyle w:val="NormalWeb"/>
        <w:spacing w:before="0" w:after="0"/>
        <w:rPr>
          <w:rFonts w:ascii="Times New Roman" w:hAnsi="Times New Roman"/>
          <w:sz w:val="24"/>
          <w:szCs w:val="24"/>
        </w:rPr>
      </w:pPr>
      <w:r>
        <w:rPr>
          <w:rFonts w:eastAsia="Calibri" w:cs="Segoe UI"/>
          <w:sz w:val="24"/>
          <w:szCs w:val="24"/>
          <w:lang w:eastAsia="en-US"/>
        </w:rPr>
        <w:t>Отдел организации, мониторинга и контроля</w:t>
      </w:r>
    </w:p>
    <w:p>
      <w:pPr>
        <w:pStyle w:val="NormalWeb"/>
        <w:spacing w:before="0" w:after="0"/>
        <w:rPr>
          <w:rFonts w:ascii="Times New Roman" w:hAnsi="Times New Roman"/>
          <w:sz w:val="24"/>
          <w:szCs w:val="24"/>
        </w:rPr>
      </w:pPr>
      <w:r>
        <w:rPr>
          <w:rFonts w:eastAsia="Calibri" w:cs="Segoe UI"/>
          <w:sz w:val="24"/>
          <w:szCs w:val="24"/>
          <w:lang w:eastAsia="en-US"/>
        </w:rPr>
        <w:t>(4922) 45-08-29</w:t>
      </w:r>
    </w:p>
    <w:p>
      <w:pPr>
        <w:pStyle w:val="Normal"/>
        <w:spacing w:before="0" w:after="160"/>
        <w:rPr>
          <w:rFonts w:ascii="Times New Roman" w:hAnsi="Times New Roman"/>
          <w:sz w:val="24"/>
          <w:szCs w:val="24"/>
        </w:rPr>
      </w:pPr>
      <w:r>
        <w:rPr>
          <w:rFonts w:ascii="Times New Roman" w:hAnsi="Times New Roman"/>
          <w:sz w:val="24"/>
          <w:szCs w:val="24"/>
        </w:rPr>
        <w:t>(4922) 45-08-26</w:t>
      </w:r>
    </w:p>
    <w:sectPr>
      <w:type w:val="nextPage"/>
      <w:pgSz w:w="11906" w:h="16838"/>
      <w:pgMar w:left="1701" w:right="850" w:gutter="0" w:header="0" w:top="1620" w:footer="0" w:bottom="851"/>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Calibri Light">
    <w:charset w:val="01"/>
    <w:family w:val="roman"/>
    <w:pitch w:val="default"/>
  </w:font>
  <w:font w:name="Segoe UI">
    <w:charset w:val="01"/>
    <w:family w:val="roman"/>
    <w:pitch w:val="default"/>
  </w:font>
  <w:font w:name="Times New Roman">
    <w:charset w:val="01"/>
    <w:family w:val="roman"/>
    <w:pitch w:val="default"/>
  </w:font>
  <w:font w:name="Arial">
    <w:charset w:val="01"/>
    <w:family w:val="roman"/>
    <w:pitch w:val="default"/>
  </w:font>
  <w:font w:name="PT Astra Serif">
    <w:charset w:val="01"/>
    <w:family w:val="roman"/>
    <w:pitch w:val="default"/>
  </w:font>
</w:fonts>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3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1">
    <w:name w:val="Heading 1"/>
    <w:basedOn w:val="Normal"/>
    <w:next w:val="Normal"/>
    <w:link w:val="11"/>
    <w:uiPriority w:val="9"/>
    <w:qFormat/>
    <w:rsid w:val="00235eef"/>
    <w:pPr>
      <w:keepNext w:val="true"/>
      <w:keepLines/>
      <w:spacing w:before="240" w:after="0"/>
      <w:outlineLvl w:val="0"/>
    </w:pPr>
    <w:rPr>
      <w:rFonts w:ascii="Calibri Light" w:hAnsi="Calibri Light" w:eastAsia="" w:cs="" w:asciiTheme="majorHAnsi" w:cstheme="majorBidi" w:eastAsiaTheme="majorEastAsia" w:hAnsiTheme="majorHAnsi"/>
      <w:color w:val="2E74B5" w:themeColor="accent1" w:themeShade="bf"/>
      <w:sz w:val="32"/>
      <w:szCs w:val="32"/>
    </w:rPr>
  </w:style>
  <w:style w:type="character" w:styleId="DefaultParagraphFont" w:default="1">
    <w:name w:val="Default Paragraph Font"/>
    <w:uiPriority w:val="1"/>
    <w:semiHidden/>
    <w:unhideWhenUsed/>
    <w:qFormat/>
    <w:rPr/>
  </w:style>
  <w:style w:type="character" w:styleId="Style13" w:customStyle="1">
    <w:name w:val="Текст выноски Знак"/>
    <w:basedOn w:val="DefaultParagraphFont"/>
    <w:link w:val="BalloonText"/>
    <w:uiPriority w:val="99"/>
    <w:semiHidden/>
    <w:qFormat/>
    <w:rsid w:val="00df02f6"/>
    <w:rPr>
      <w:rFonts w:ascii="Segoe UI" w:hAnsi="Segoe UI" w:cs="Segoe UI"/>
      <w:sz w:val="18"/>
      <w:szCs w:val="18"/>
    </w:rPr>
  </w:style>
  <w:style w:type="character" w:styleId="11" w:customStyle="1">
    <w:name w:val="Заголовок 1 Знак"/>
    <w:basedOn w:val="DefaultParagraphFont"/>
    <w:uiPriority w:val="9"/>
    <w:qFormat/>
    <w:rsid w:val="00235eef"/>
    <w:rPr>
      <w:rFonts w:ascii="Calibri Light" w:hAnsi="Calibri Light" w:eastAsia="" w:cs="" w:asciiTheme="majorHAnsi" w:cstheme="majorBidi" w:eastAsiaTheme="majorEastAsia" w:hAnsiTheme="majorHAnsi"/>
      <w:color w:val="2E74B5" w:themeColor="accent1" w:themeShade="bf"/>
      <w:sz w:val="32"/>
      <w:szCs w:val="32"/>
    </w:rPr>
  </w:style>
  <w:style w:type="character" w:styleId="-">
    <w:name w:val="Hyperlink"/>
    <w:basedOn w:val="DefaultParagraphFont"/>
    <w:uiPriority w:val="99"/>
    <w:unhideWhenUsed/>
    <w:rsid w:val="00495c8f"/>
    <w:rPr>
      <w:color w:val="0563C1" w:themeColor="hyperlink"/>
      <w:u w:val="single"/>
    </w:rPr>
  </w:style>
  <w:style w:type="character" w:styleId="Annotationreference">
    <w:name w:val="annotation reference"/>
    <w:basedOn w:val="DefaultParagraphFont"/>
    <w:uiPriority w:val="99"/>
    <w:semiHidden/>
    <w:unhideWhenUsed/>
    <w:qFormat/>
    <w:rsid w:val="00f93aab"/>
    <w:rPr>
      <w:sz w:val="16"/>
      <w:szCs w:val="16"/>
    </w:rPr>
  </w:style>
  <w:style w:type="character" w:styleId="Style14" w:customStyle="1">
    <w:name w:val="Текст примечания Знак"/>
    <w:basedOn w:val="DefaultParagraphFont"/>
    <w:link w:val="Annotationtext"/>
    <w:uiPriority w:val="99"/>
    <w:semiHidden/>
    <w:qFormat/>
    <w:rsid w:val="00f93aab"/>
    <w:rPr>
      <w:sz w:val="20"/>
      <w:szCs w:val="20"/>
    </w:rPr>
  </w:style>
  <w:style w:type="character" w:styleId="Style15" w:customStyle="1">
    <w:name w:val="Тема примечания Знак"/>
    <w:basedOn w:val="Style14"/>
    <w:link w:val="Annotationsubject"/>
    <w:uiPriority w:val="99"/>
    <w:semiHidden/>
    <w:qFormat/>
    <w:rsid w:val="00f93aab"/>
    <w:rPr>
      <w:b/>
      <w:bCs/>
      <w:sz w:val="20"/>
      <w:szCs w:val="20"/>
    </w:rPr>
  </w:style>
  <w:style w:type="character" w:styleId="3" w:customStyle="1">
    <w:name w:val="Основной текст с отступом 3 Знак"/>
    <w:basedOn w:val="DefaultParagraphFont"/>
    <w:link w:val="BodyTextIndent3"/>
    <w:uiPriority w:val="99"/>
    <w:qFormat/>
    <w:rsid w:val="00430e6d"/>
    <w:rPr>
      <w:rFonts w:ascii="Times New Roman" w:hAnsi="Times New Roman" w:eastAsia="Arial Unicode MS" w:cs="Mangal"/>
      <w:kern w:val="2"/>
      <w:sz w:val="16"/>
      <w:szCs w:val="14"/>
      <w:lang w:eastAsia="hi-IN" w:bidi="hi-IN"/>
    </w:rPr>
  </w:style>
  <w:style w:type="character" w:styleId="ConsPlusNormal" w:customStyle="1">
    <w:name w:val="ConsPlusNormal Знак"/>
    <w:link w:val="ConsPlusNormal1"/>
    <w:qFormat/>
    <w:locked/>
    <w:rsid w:val="00f96508"/>
    <w:rPr>
      <w:rFonts w:ascii="Arial" w:hAnsi="Arial" w:cs="Arial"/>
      <w:sz w:val="20"/>
      <w:szCs w:val="20"/>
    </w:rPr>
  </w:style>
  <w:style w:type="character" w:styleId="BodyText2" w:customStyle="1">
    <w:name w:val="Body Text 2 Знак"/>
    <w:link w:val="21"/>
    <w:qFormat/>
    <w:rsid w:val="005f3b17"/>
    <w:rPr>
      <w:rFonts w:ascii="Times New Roman" w:hAnsi="Times New Roman" w:eastAsia="Times New Roman" w:cs="Times New Roman"/>
      <w:sz w:val="24"/>
      <w:szCs w:val="20"/>
      <w:lang w:eastAsia="ru-RU"/>
    </w:rPr>
  </w:style>
  <w:style w:type="paragraph" w:styleId="Style16">
    <w:name w:val="Заголовок"/>
    <w:basedOn w:val="Normal"/>
    <w:next w:val="Style17"/>
    <w:qFormat/>
    <w:pPr>
      <w:keepNext w:val="true"/>
      <w:spacing w:before="240" w:after="120"/>
    </w:pPr>
    <w:rPr>
      <w:rFonts w:ascii="PT Astra Serif" w:hAnsi="PT Astra Serif" w:eastAsia="Tahoma" w:cs="Noto Sans Devanagari"/>
      <w:sz w:val="28"/>
      <w:szCs w:val="28"/>
    </w:rPr>
  </w:style>
  <w:style w:type="paragraph" w:styleId="Style17">
    <w:name w:val="Body Text"/>
    <w:basedOn w:val="Normal"/>
    <w:pPr>
      <w:spacing w:lineRule="auto" w:line="276" w:before="0" w:after="140"/>
    </w:pPr>
    <w:rPr/>
  </w:style>
  <w:style w:type="paragraph" w:styleId="Style18">
    <w:name w:val="List"/>
    <w:basedOn w:val="Style17"/>
    <w:pPr/>
    <w:rPr>
      <w:rFonts w:ascii="PT Astra Serif" w:hAnsi="PT Astra Serif" w:cs="Noto Sans Devanagari"/>
    </w:rPr>
  </w:style>
  <w:style w:type="paragraph" w:styleId="Style19">
    <w:name w:val="Caption"/>
    <w:basedOn w:val="Normal"/>
    <w:qFormat/>
    <w:pPr>
      <w:suppressLineNumbers/>
      <w:spacing w:before="120" w:after="120"/>
    </w:pPr>
    <w:rPr>
      <w:rFonts w:ascii="PT Astra Serif" w:hAnsi="PT Astra Serif" w:cs="Noto Sans Devanagari"/>
      <w:i/>
      <w:iCs/>
      <w:sz w:val="24"/>
      <w:szCs w:val="24"/>
    </w:rPr>
  </w:style>
  <w:style w:type="paragraph" w:styleId="Style20">
    <w:name w:val="Указатель"/>
    <w:basedOn w:val="Normal"/>
    <w:qFormat/>
    <w:pPr>
      <w:suppressLineNumbers/>
    </w:pPr>
    <w:rPr>
      <w:rFonts w:ascii="PT Astra Serif" w:hAnsi="PT Astra Serif" w:cs="Noto Sans Devanagari"/>
    </w:rPr>
  </w:style>
  <w:style w:type="paragraph" w:styleId="BalloonText">
    <w:name w:val="Balloon Text"/>
    <w:basedOn w:val="Normal"/>
    <w:link w:val="Style13"/>
    <w:uiPriority w:val="99"/>
    <w:semiHidden/>
    <w:unhideWhenUsed/>
    <w:qFormat/>
    <w:rsid w:val="00df02f6"/>
    <w:pPr>
      <w:spacing w:lineRule="auto" w:line="240" w:before="0" w:after="0"/>
    </w:pPr>
    <w:rPr>
      <w:rFonts w:ascii="Segoe UI" w:hAnsi="Segoe UI" w:cs="Segoe UI"/>
      <w:sz w:val="18"/>
      <w:szCs w:val="18"/>
    </w:rPr>
  </w:style>
  <w:style w:type="paragraph" w:styleId="NoSpacing">
    <w:name w:val="No Spacing"/>
    <w:uiPriority w:val="1"/>
    <w:qFormat/>
    <w:rsid w:val="00235eef"/>
    <w:pPr>
      <w:widowControl/>
      <w:suppressAutoHyphens w:val="true"/>
      <w:bidi w:val="0"/>
      <w:spacing w:lineRule="auto" w:line="240" w:before="0" w:after="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paragraph" w:styleId="ListParagraph">
    <w:name w:val="List Paragraph"/>
    <w:basedOn w:val="Normal"/>
    <w:uiPriority w:val="34"/>
    <w:qFormat/>
    <w:rsid w:val="00cb3098"/>
    <w:pPr>
      <w:spacing w:lineRule="auto" w:line="252" w:before="0" w:after="160"/>
      <w:ind w:left="720" w:hanging="0"/>
      <w:contextualSpacing/>
    </w:pPr>
    <w:rPr/>
  </w:style>
  <w:style w:type="paragraph" w:styleId="Annotationtext">
    <w:name w:val="annotation text"/>
    <w:basedOn w:val="Normal"/>
    <w:link w:val="Style14"/>
    <w:uiPriority w:val="99"/>
    <w:semiHidden/>
    <w:unhideWhenUsed/>
    <w:qFormat/>
    <w:rsid w:val="00f93aab"/>
    <w:pPr>
      <w:spacing w:lineRule="auto" w:line="240"/>
    </w:pPr>
    <w:rPr>
      <w:sz w:val="20"/>
      <w:szCs w:val="20"/>
    </w:rPr>
  </w:style>
  <w:style w:type="paragraph" w:styleId="Annotationsubject">
    <w:name w:val="annotation subject"/>
    <w:basedOn w:val="Annotationtext"/>
    <w:next w:val="Annotationtext"/>
    <w:link w:val="Style15"/>
    <w:uiPriority w:val="99"/>
    <w:semiHidden/>
    <w:unhideWhenUsed/>
    <w:qFormat/>
    <w:rsid w:val="00f93aab"/>
    <w:pPr/>
    <w:rPr>
      <w:b/>
      <w:bCs/>
    </w:rPr>
  </w:style>
  <w:style w:type="paragraph" w:styleId="NormalWeb">
    <w:name w:val="Normal (Web)"/>
    <w:basedOn w:val="Normal"/>
    <w:uiPriority w:val="99"/>
    <w:unhideWhenUsed/>
    <w:qFormat/>
    <w:rsid w:val="00430e6d"/>
    <w:pPr>
      <w:spacing w:lineRule="auto" w:line="240" w:before="0" w:after="96"/>
    </w:pPr>
    <w:rPr>
      <w:rFonts w:ascii="Times New Roman" w:hAnsi="Times New Roman" w:eastAsia="Times New Roman" w:cs="Times New Roman"/>
      <w:sz w:val="24"/>
      <w:szCs w:val="24"/>
      <w:lang w:eastAsia="ru-RU"/>
    </w:rPr>
  </w:style>
  <w:style w:type="paragraph" w:styleId="BodyTextIndent3">
    <w:name w:val="Body Text Indent 3"/>
    <w:basedOn w:val="Normal"/>
    <w:link w:val="3"/>
    <w:uiPriority w:val="99"/>
    <w:unhideWhenUsed/>
    <w:qFormat/>
    <w:rsid w:val="00430e6d"/>
    <w:pPr>
      <w:widowControl w:val="false"/>
      <w:suppressAutoHyphens w:val="true"/>
      <w:spacing w:lineRule="auto" w:line="240" w:before="0" w:after="120"/>
      <w:ind w:left="283" w:hanging="0"/>
    </w:pPr>
    <w:rPr>
      <w:rFonts w:ascii="Times New Roman" w:hAnsi="Times New Roman" w:eastAsia="Arial Unicode MS" w:cs="Mangal"/>
      <w:kern w:val="2"/>
      <w:sz w:val="16"/>
      <w:szCs w:val="14"/>
      <w:lang w:eastAsia="hi-IN" w:bidi="hi-IN"/>
    </w:rPr>
  </w:style>
  <w:style w:type="paragraph" w:styleId="ConsPlusNormal1" w:customStyle="1">
    <w:name w:val="ConsPlusNormal"/>
    <w:link w:val="ConsPlusNormal"/>
    <w:qFormat/>
    <w:rsid w:val="00f96508"/>
    <w:pPr>
      <w:widowControl/>
      <w:suppressAutoHyphens w:val="true"/>
      <w:bidi w:val="0"/>
      <w:spacing w:lineRule="auto" w:line="240" w:before="0" w:after="0"/>
      <w:jc w:val="left"/>
    </w:pPr>
    <w:rPr>
      <w:rFonts w:ascii="Arial" w:hAnsi="Arial" w:eastAsia="Calibri" w:cs="Arial" w:eastAsiaTheme="minorHAnsi"/>
      <w:color w:val="auto"/>
      <w:kern w:val="0"/>
      <w:sz w:val="20"/>
      <w:szCs w:val="20"/>
      <w:lang w:val="ru-RU" w:eastAsia="en-US" w:bidi="ar-SA"/>
    </w:rPr>
  </w:style>
  <w:style w:type="paragraph" w:styleId="21" w:customStyle="1">
    <w:name w:val="Основной текст 21"/>
    <w:basedOn w:val="Normal"/>
    <w:link w:val="BodyText2"/>
    <w:qFormat/>
    <w:rsid w:val="005f3b17"/>
    <w:pPr>
      <w:spacing w:lineRule="auto" w:line="240" w:before="0" w:after="0"/>
      <w:jc w:val="both"/>
    </w:pPr>
    <w:rPr>
      <w:rFonts w:ascii="Times New Roman" w:hAnsi="Times New Roman" w:eastAsia="Times New Roman" w:cs="Times New Roman"/>
      <w:sz w:val="24"/>
      <w:szCs w:val="20"/>
      <w:lang w:eastAsia="ru-RU"/>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997</TotalTime>
  <Application>LibreOffice/7.5.6.2$Linux_X86_64 LibreOffice_project/50$Build-2</Application>
  <AppVersion>15.0000</AppVersion>
  <Pages>3</Pages>
  <Words>482</Words>
  <Characters>3704</Characters>
  <CharactersWithSpaces>4297</CharactersWithSpaces>
  <Paragraphs>30</Paragraphs>
  <Company>Управление Росреестра по Владимирской области</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2022-06-23T07:13:00Z</dcterms:created>
  <dc:creator>Пушкарская Диана Дмитриевна</dc:creator>
  <dc:description/>
  <dc:language>ru-RU</dc:language>
  <cp:lastModifiedBy/>
  <cp:lastPrinted>2021-04-20T16:11:00Z</cp:lastPrinted>
  <dcterms:modified xsi:type="dcterms:W3CDTF">2025-05-20T14:22:27Z</dcterms:modified>
  <cp:revision>106</cp:revision>
  <dc:subject/>
  <dc:title/>
</cp:coreProperties>
</file>

<file path=docProps/custom.xml><?xml version="1.0" encoding="utf-8"?>
<Properties xmlns="http://schemas.openxmlformats.org/officeDocument/2006/custom-properties" xmlns:vt="http://schemas.openxmlformats.org/officeDocument/2006/docPropsVTypes"/>
</file>