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 неисполнение отдельных положений законодательства теперь предусмотрена административная ответственность в сфере туризма</w:t>
      </w:r>
    </w:p>
    <w:p w14:paraId="02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3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07.07.2025 № 203-ФЗ внесены изменения в Кодекс РФ об административных правонарушениях.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b w:val="0"/>
          <w:sz w:val="28"/>
        </w:rPr>
        <w:t xml:space="preserve">Изменения коснулись ст. 14.39 КоАП РФ и 14.51 КоАП РФ. 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частности, предоставление услуг средства размещения без включения сведений о нем в реестр классифицированных средств размещения либо предоставление услуг средства размещения, действие классификации которого прекращено, повлечет наложение штрафа на должностных лиц в размере от 50 тысяч до 70 тысяч рублей; на юридических лиц - от 300 тысяч до 450 тысяч рублей. Предусмотрена ответственность за повторное совершение данного правонарушения.</w:t>
      </w:r>
    </w:p>
    <w:p w14:paraId="06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Предоставление услуг средства размещения, не соответствующего требованиям к соответствующему типу средств размещения, указанному в реестре классифицированных средств размещения,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повлечет предупреждение или наложение штрафа на должностных лиц в размере от 30 тысяч до 40 тысяч рублей; на юридических лиц - от 100 тысяч до 170 тысяч рублей. Повторное совершение этого правонарушения повлечет наложение штрафа на должностных лиц в размере от 40 тысяч до 60 тысяч рублей; на юридических лиц - от 200 тысяч до 300 тысяч рублей.</w:t>
      </w:r>
    </w:p>
    <w:p w14:paraId="07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Также предусмотрена ответственность, в том числе за оказание услуг по сопровождению туристов на туристском маршруте, при прохождении которого туристам требуется специальное сопровождение, без привлечения инструктора-проводника в установленных федеральным законом случаях либо оказание услуг по сопровождению туристов на туристском маршруте, требующем специального сопровождения, лицом, не являющимся аттестованным инструктором-проводником, а также за повторное совершение данного правонарушения.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ст. 23.98 КоАП РФ определены полномочия о</w:t>
      </w:r>
      <w:r>
        <w:rPr>
          <w:b w:val="0"/>
          <w:sz w:val="28"/>
        </w:rPr>
        <w:t>рганов исполнительной власти субъектов Российской Федерации, осуществляющие региональный государственный контроль (надзор) в сфере туристской индустрии.</w:t>
      </w:r>
    </w:p>
    <w:p w14:paraId="09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Федеральный закон вступает в силу по истечении 60 дней после дня его официального опубликования.</w:t>
      </w:r>
    </w:p>
    <w:p w14:paraId="0A000000">
      <w:pPr>
        <w:pStyle w:val="Style_1"/>
        <w:spacing w:before="0" w:line="240" w:lineRule="auto"/>
        <w:ind w:firstLine="709"/>
        <w:jc w:val="both"/>
        <w:rPr>
          <w:sz w:val="28"/>
        </w:rPr>
      </w:pPr>
    </w:p>
    <w:p w14:paraId="0B000000">
      <w:pPr>
        <w:pStyle w:val="Style_1"/>
        <w:spacing w:before="240"/>
        <w:ind/>
        <w:jc w:val="both"/>
      </w:pPr>
    </w:p>
    <w:p w14:paraId="0C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ConsPlusTextList"/>
    <w:link w:val="Style_2_ch"/>
    <w:pPr>
      <w:widowControl w:val="0"/>
      <w:ind/>
    </w:pPr>
    <w:rPr>
      <w:rFonts w:ascii="Times New Roman" w:hAnsi="Times New Roman"/>
      <w:sz w:val="24"/>
    </w:rPr>
  </w:style>
  <w:style w:styleId="Style_2_ch" w:type="character">
    <w:name w:val="ConsPlusTextList"/>
    <w:link w:val="Style_2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Title"/>
    <w:link w:val="Style_10_ch"/>
    <w:pPr>
      <w:widowControl w:val="0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JurTerm"/>
    <w:link w:val="Style_12_ch"/>
    <w:pPr>
      <w:widowControl w:val="0"/>
      <w:ind/>
    </w:pPr>
    <w:rPr>
      <w:rFonts w:ascii="Tahoma" w:hAnsi="Tahoma"/>
      <w:sz w:val="26"/>
    </w:rPr>
  </w:style>
  <w:style w:styleId="Style_12_ch" w:type="character">
    <w:name w:val="ConsPlusJurTerm"/>
    <w:link w:val="Style_12"/>
    <w:rPr>
      <w:rFonts w:ascii="Tahoma" w:hAnsi="Tahoma"/>
      <w:sz w:val="26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ConsPlusCell"/>
    <w:link w:val="Style_15_ch"/>
    <w:pPr>
      <w:widowControl w:val="0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  <w:sz w:val="20"/>
    </w:rPr>
  </w:style>
  <w:style w:styleId="Style_21_ch" w:type="character">
    <w:name w:val="ConsPlusTitlePage"/>
    <w:link w:val="Style_21"/>
    <w:rPr>
      <w:rFonts w:ascii="Tahoma" w:hAnsi="Tahoma"/>
      <w:sz w:val="20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ind/>
    </w:pPr>
    <w:rPr>
      <w:rFonts w:ascii="Times New Roman" w:hAnsi="Times New Roman"/>
      <w:sz w:val="24"/>
    </w:rPr>
  </w:style>
  <w:style w:styleId="Style_23_ch" w:type="character">
    <w:name w:val="ConsPlusTextList"/>
    <w:link w:val="Style_23"/>
    <w:rPr>
      <w:rFonts w:ascii="Times New Roman" w:hAnsi="Times New Roman"/>
      <w:sz w:val="24"/>
    </w:rPr>
  </w:style>
  <w:style w:styleId="Style_24" w:type="paragraph">
    <w:name w:val="toc 5"/>
    <w:next w:val="Style_4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PlusNonformat"/>
    <w:link w:val="Style_25_ch"/>
    <w:pPr>
      <w:widowControl w:val="0"/>
      <w:ind/>
    </w:pPr>
    <w:rPr>
      <w:rFonts w:ascii="Courier New" w:hAnsi="Courier New"/>
      <w:sz w:val="20"/>
    </w:rPr>
  </w:style>
  <w:style w:styleId="Style_25_ch" w:type="character">
    <w:name w:val="ConsPlusNonformat"/>
    <w:link w:val="Style_25"/>
    <w:rPr>
      <w:rFonts w:ascii="Courier New" w:hAnsi="Courier New"/>
      <w:sz w:val="20"/>
    </w:rPr>
  </w:style>
  <w:style w:styleId="Style_26" w:type="paragraph">
    <w:name w:val="ConsPlusDocList"/>
    <w:link w:val="Style_26_ch"/>
    <w:pPr>
      <w:widowControl w:val="0"/>
      <w:ind/>
    </w:pPr>
    <w:rPr>
      <w:rFonts w:ascii="Tahoma" w:hAnsi="Tahoma"/>
      <w:sz w:val="18"/>
    </w:rPr>
  </w:style>
  <w:style w:styleId="Style_26_ch" w:type="character">
    <w:name w:val="ConsPlusDocList"/>
    <w:link w:val="Style_26"/>
    <w:rPr>
      <w:rFonts w:ascii="Tahoma" w:hAnsi="Tahoma"/>
      <w:sz w:val="1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2025-07-14T11:07:31Z</dcterms:modified>
</cp:coreProperties>
</file>