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Запрещено воспроизведение объектов религиозного назначения без соответствующих им религиозных символов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31.07.2025 № 319-ФЗ внесены изменения в статью 3 Федерального закона «О свободе совести и о религиозных объединениях».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без данных символов, в том числе в средствах массовой информации, в информационно-телекоммуникационных сетях, при продаже товаров, выполнении работ, оказании услуг и в рекламе, не допускается, за исключением случаев,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8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9000000">
      <w:pPr>
        <w:pStyle w:val="Style_1"/>
        <w:spacing w:before="240"/>
        <w:ind/>
        <w:jc w:val="both"/>
      </w:pPr>
    </w:p>
    <w:p w14:paraId="0A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2025-08-12T07:25:25Z</dcterms:modified>
</cp:coreProperties>
</file>