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b w:val="0"/>
        </w:rPr>
      </w:pPr>
      <w:r>
        <w:rPr>
          <w:b w:val="1"/>
          <w:sz w:val="28"/>
        </w:rPr>
        <w:t>Минюстом усовершенствован порядок организации пенитенциарной пробации</w:t>
      </w:r>
    </w:p>
    <w:p w14:paraId="02000000">
      <w:pPr>
        <w:spacing w:after="0" w:before="0"/>
        <w:ind w:firstLine="0" w:left="0" w:right="0"/>
        <w:jc w:val="center"/>
        <w:rPr>
          <w:b w:val="0"/>
        </w:rPr>
      </w:pPr>
    </w:p>
    <w:p w14:paraId="03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Приказом Минюста России от 01.08.2025 № 187 внесены изменения в приказа Минюста России от 29.11.2023 № 350 «О ресоциализации, социально адаптации и социальной реабилитации лиц, в отношении которых применяется пробация в соответствии с Федеральным законом от 06.02.2023 № 10-ФЗ «О пробации в Российской Федерации».</w:t>
      </w:r>
    </w:p>
    <w:p w14:paraId="04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В частности, закреплено право лица, в отношении которого принято решение о целесообразности оказания содействия в ресоциализации, социальной адаптации и социальной реабилитации, в период отбывания наказания в виде лишения свободы или принудительных работ отказаться от такого содействия посредством обращения в администрацию исправительного учреждения с соответствующим заявлением.</w:t>
      </w:r>
    </w:p>
    <w:p w14:paraId="05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Предусмотрено, что осужденный вправе повторно подать заявление об оказании содействия в ресоциализации, социальной адаптации и социальной реабилитации в установленные сроки.</w:t>
      </w:r>
    </w:p>
    <w:p w14:paraId="06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Кроме того, уточнены обстоятельства, при которых осужденным, освобождаемым из мест лишения свободы, выдается единовременное денежное пособие. Установлено, что осужденным к лишению свободы беременной женщине, женщине, имеющей при себе ребенка, а также несовершеннолетним гражданам единовременное денежное пособие выдается независимо от размера имеющихся у указанных лиц в день освобождения денежных средств.</w:t>
      </w:r>
    </w:p>
    <w:p w14:paraId="07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Уточняются особенности корректировки индивидуальной программы ресоциализации, социальной адаптации и социальной реабилитации осужденного и вопросы оказания содействия в трудовом и бытовом устройстве осужденных.</w:t>
      </w:r>
    </w:p>
    <w:p w14:paraId="08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9000000">
      <w:pPr>
        <w:pStyle w:val="Style_1"/>
        <w:spacing w:before="0" w:line="240" w:lineRule="auto"/>
        <w:ind w:firstLine="709" w:left="0"/>
        <w:jc w:val="both"/>
        <w:rPr>
          <w:sz w:val="28"/>
        </w:rPr>
      </w:pPr>
    </w:p>
    <w:p w14:paraId="0A000000">
      <w:pPr>
        <w:pStyle w:val="Style_1"/>
        <w:spacing w:before="240"/>
        <w:ind/>
        <w:jc w:val="both"/>
      </w:pPr>
    </w:p>
    <w:p w14:paraId="0B000000">
      <w:pPr>
        <w:pStyle w:val="Style_1"/>
      </w:pPr>
      <w:r>
        <w:rPr>
          <w:i w:val="1"/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toc 2"/>
    <w:next w:val="Style_3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4" w:type="paragraph">
    <w:name w:val="toc 4"/>
    <w:next w:val="Style_3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3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3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onsPlusJurTerm"/>
    <w:link w:val="Style_7_ch"/>
    <w:pPr>
      <w:widowControl w:val="0"/>
      <w:ind/>
    </w:pPr>
    <w:rPr>
      <w:rFonts w:ascii="Tahoma" w:hAnsi="Tahoma"/>
      <w:sz w:val="26"/>
    </w:rPr>
  </w:style>
  <w:style w:styleId="Style_7_ch" w:type="character">
    <w:name w:val="ConsPlusJurTerm"/>
    <w:link w:val="Style_7"/>
    <w:rPr>
      <w:rFonts w:ascii="Tahoma" w:hAnsi="Tahoma"/>
      <w:sz w:val="26"/>
    </w:rPr>
  </w:style>
  <w:style w:styleId="Style_3" w:type="paragraph">
    <w:name w:val="Normal"/>
    <w:link w:val="Style_3_ch"/>
    <w:uiPriority w:val="0"/>
    <w:qFormat/>
  </w:style>
  <w:style w:styleId="Style_3_ch" w:type="character">
    <w:name w:val="Normal"/>
    <w:link w:val="Style_3"/>
  </w:style>
  <w:style w:styleId="Style_8" w:type="paragraph">
    <w:name w:val="ConsPlusTextList"/>
    <w:link w:val="Style_8_ch"/>
    <w:pPr>
      <w:widowControl w:val="0"/>
      <w:ind/>
    </w:pPr>
    <w:rPr>
      <w:rFonts w:ascii="Times New Roman" w:hAnsi="Times New Roman"/>
      <w:sz w:val="24"/>
    </w:rPr>
  </w:style>
  <w:style w:styleId="Style_8_ch" w:type="character">
    <w:name w:val="ConsPlusTextList"/>
    <w:link w:val="Style_8"/>
    <w:rPr>
      <w:rFonts w:ascii="Times New Roman" w:hAnsi="Times New Roman"/>
      <w:sz w:val="24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ConsPlusCell"/>
    <w:link w:val="Style_19_ch"/>
    <w:pPr>
      <w:widowControl w:val="0"/>
      <w:ind/>
    </w:pPr>
    <w:rPr>
      <w:rFonts w:ascii="Courier New" w:hAnsi="Courier New"/>
      <w:sz w:val="20"/>
    </w:rPr>
  </w:style>
  <w:style w:styleId="Style_19_ch" w:type="character">
    <w:name w:val="ConsPlusCell"/>
    <w:link w:val="Style_19"/>
    <w:rPr>
      <w:rFonts w:ascii="Courier New" w:hAnsi="Courier New"/>
      <w:sz w:val="20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ConsPlusTextList"/>
    <w:link w:val="Style_21_ch"/>
    <w:pPr>
      <w:widowControl w:val="0"/>
      <w:ind/>
    </w:pPr>
    <w:rPr>
      <w:rFonts w:ascii="Times New Roman" w:hAnsi="Times New Roman"/>
      <w:sz w:val="24"/>
    </w:rPr>
  </w:style>
  <w:style w:styleId="Style_21_ch" w:type="character">
    <w:name w:val="ConsPlusTextList"/>
    <w:link w:val="Style_21"/>
    <w:rPr>
      <w:rFonts w:ascii="Times New Roman" w:hAnsi="Times New Roman"/>
      <w:sz w:val="24"/>
    </w:rPr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ConsPlusNonformat"/>
    <w:link w:val="Style_23_ch"/>
    <w:pPr>
      <w:widowControl w:val="0"/>
      <w:ind/>
    </w:pPr>
    <w:rPr>
      <w:rFonts w:ascii="Courier New" w:hAnsi="Courier New"/>
      <w:sz w:val="20"/>
    </w:rPr>
  </w:style>
  <w:style w:styleId="Style_23_ch" w:type="character">
    <w:name w:val="ConsPlusNonformat"/>
    <w:link w:val="Style_23"/>
    <w:rPr>
      <w:rFonts w:ascii="Courier New" w:hAnsi="Courier New"/>
      <w:sz w:val="20"/>
    </w:rPr>
  </w:style>
  <w:style w:styleId="Style_24" w:type="paragraph">
    <w:name w:val="ConsPlusDocList"/>
    <w:link w:val="Style_24_ch"/>
    <w:pPr>
      <w:widowControl w:val="0"/>
      <w:ind/>
    </w:pPr>
    <w:rPr>
      <w:rFonts w:ascii="Tahoma" w:hAnsi="Tahoma"/>
      <w:sz w:val="18"/>
    </w:rPr>
  </w:style>
  <w:style w:styleId="Style_24_ch" w:type="character">
    <w:name w:val="ConsPlusDocList"/>
    <w:link w:val="Style_24"/>
    <w:rPr>
      <w:rFonts w:ascii="Tahoma" w:hAnsi="Tahoma"/>
      <w:sz w:val="18"/>
    </w:rPr>
  </w:style>
  <w:style w:styleId="Style_25" w:type="paragraph">
    <w:name w:val="ConsPlusTitle"/>
    <w:link w:val="Style_25_ch"/>
    <w:pPr>
      <w:widowControl w:val="0"/>
      <w:ind/>
    </w:pPr>
    <w:rPr>
      <w:rFonts w:ascii="Arial" w:hAnsi="Arial"/>
      <w:b w:val="1"/>
      <w:sz w:val="24"/>
    </w:rPr>
  </w:style>
  <w:style w:styleId="Style_25_ch" w:type="character">
    <w:name w:val="ConsPlusTitle"/>
    <w:link w:val="Style_25"/>
    <w:rPr>
      <w:rFonts w:ascii="Arial" w:hAnsi="Arial"/>
      <w:b w:val="1"/>
      <w:sz w:val="24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ConsPlusTitlePage"/>
    <w:link w:val="Style_27_ch"/>
    <w:pPr>
      <w:widowControl w:val="0"/>
      <w:ind/>
    </w:pPr>
    <w:rPr>
      <w:rFonts w:ascii="Tahoma" w:hAnsi="Tahoma"/>
      <w:sz w:val="20"/>
    </w:rPr>
  </w:style>
  <w:style w:styleId="Style_27_ch" w:type="character">
    <w:name w:val="ConsPlusTitlePage"/>
    <w:link w:val="Style_27"/>
    <w:rPr>
      <w:rFonts w:ascii="Tahoma" w:hAnsi="Tahoma"/>
      <w:sz w:val="20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2025-08-12T07:05:53Z</dcterms:modified>
</cp:coreProperties>
</file>