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Усилена административная ответственность за пропаганду либо публичное демонстрирование нацистской атрибутики или символики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 совершение правонарушений, предусмотренных статьей 20.3 КоАП РФ, теперь предусмотрены также обязательные работы на срок до 100 часов с конфискацией предмета правонарушения.</w:t>
      </w:r>
    </w:p>
    <w:p w14:paraId="0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административный штраф за неисполнение или ненадлежащее исполнение родителями или иными законными представителями несовершеннолетних обязанностей по их содержанию, воспитанию, обучению, защите их прав и интересов составит от 500 до 2000 рублей (ранее - от 100 до 500 рублей).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7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8000000">
      <w:pPr>
        <w:pStyle w:val="Style_1"/>
        <w:spacing w:before="240"/>
        <w:ind/>
        <w:jc w:val="both"/>
      </w:pPr>
    </w:p>
    <w:p w14:paraId="09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2025-08-12T07:22:27Z</dcterms:modified>
</cp:coreProperties>
</file>