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0" w:left="0" w:right="0"/>
        <w:jc w:val="both"/>
        <w:rPr>
          <w:b w:val="0"/>
        </w:rPr>
      </w:pPr>
    </w:p>
    <w:p w14:paraId="02000000">
      <w:pPr>
        <w:spacing w:after="0" w:before="168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Подписан закон о наставничестве для выпускников медицинских вузов и колледжей и обязательном целевом обучении по программам ординатуры</w:t>
      </w:r>
      <w:r>
        <w:br/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17.11.2025 № 424-ФЗ дополнена статья 71.2, устанавливающая в том числе особенности целевого обучения по специальностям ординатуры, а также уточняющей ответственность заказчика в случае неисполнения им обязательства по трудоустройству гражданина, принятого на целевое обучение.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Кроме того, Минздрав установит перечень специальностей, для которых вводится наставничество. Оно будет осуществляться в отношении лиц, получивших медицинское образование по специальностям из указанного перечня и впервые прошедших первичную аккредитацию специалиста, первичную специализированную аккредитацию специалиста. Закреплено, что такое наставничество не может длиться более трех лет.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период наставничества выпускники, получившие медицинское образование по договору о целевом обучении, будут осуществлять медицинскую деятельность в организациях, в которые они трудоустроены в соответствии с такими договорами, иные лица будут осуществлять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медпомощи.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По окончании периода наставничества лица, в отношении которых оно осуществлялось, подлежат периодической аккредитации специалиста.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Также Правительство РФ наделяется полномочием по установлению квоты приема на целевое обучение по специальностям, направлениям подготовки, научным специальностям, в том числе определению количества мест для приема на целевое обучение с указанием заказчиков целевого обучения, с указанием субъектов РФ,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программы.</w:t>
      </w: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Федеральный закон вступит в силу с 1 марта 2026 года, за исключением статьи, для которой предусмотрен иной срок вступления в силу. Определено, что нормы о наставничестве не будут распространяться на лиц, которые до 1 марта 2026 года завершили обучение по основным профессиональным образовательным программам или впервые прошли первичную аккредитацию специалиста, первичную специализированную аккредитацию специалиста по соответствующей специальности.</w:t>
      </w:r>
    </w:p>
    <w:p w14:paraId="09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B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C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D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E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F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10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11000000">
      <w:pPr>
        <w:pStyle w:val="Style_1"/>
      </w:pPr>
    </w:p>
    <w:sectPr>
      <w:pgSz w:h="16838" w:orient="portrait" w:w="11906"/>
      <w:pgMar w:bottom="1440" w:footer="0" w:gutter="0" w:header="0" w:left="1133" w:right="566" w:top="44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TextList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ConsPlusTextList"/>
    <w:link w:val="Style_5"/>
    <w:rPr>
      <w:rFonts w:ascii="Times New Roman" w:hAnsi="Times New Roman"/>
      <w:sz w:val="24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DocList"/>
    <w:link w:val="Style_10_ch"/>
    <w:pPr>
      <w:widowControl w:val="0"/>
      <w:ind/>
    </w:pPr>
    <w:rPr>
      <w:rFonts w:ascii="Tahoma" w:hAnsi="Tahoma"/>
      <w:sz w:val="18"/>
    </w:rPr>
  </w:style>
  <w:style w:styleId="Style_10_ch" w:type="character">
    <w:name w:val="ConsPlusDocList"/>
    <w:link w:val="Style_10"/>
    <w:rPr>
      <w:rFonts w:ascii="Tahoma" w:hAnsi="Tahoma"/>
      <w:sz w:val="18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ConsPlusCell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Cell"/>
    <w:link w:val="Style_13"/>
    <w:rPr>
      <w:rFonts w:ascii="Courier New" w:hAnsi="Courier New"/>
      <w:sz w:val="20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sz w:val="26"/>
    </w:rPr>
  </w:style>
  <w:style w:styleId="Style_18_ch" w:type="character">
    <w:name w:val="ConsPlusJurTerm"/>
    <w:link w:val="Style_18"/>
    <w:rPr>
      <w:rFonts w:ascii="Tahoma" w:hAnsi="Tahoma"/>
      <w:sz w:val="26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ConsPlusTitlePage"/>
    <w:link w:val="Style_20_ch"/>
    <w:pPr>
      <w:widowControl w:val="0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ind/>
    </w:pPr>
    <w:rPr>
      <w:rFonts w:ascii="Arial" w:hAnsi="Arial"/>
      <w:b w:val="1"/>
      <w:sz w:val="24"/>
    </w:rPr>
  </w:style>
  <w:style w:styleId="Style_26_ch" w:type="character">
    <w:name w:val="ConsPlusTitle"/>
    <w:link w:val="Style_26"/>
    <w:rPr>
      <w:rFonts w:ascii="Arial" w:hAnsi="Arial"/>
      <w:b w:val="1"/>
      <w:sz w:val="24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2025-11-24T14:19:21Z</dcterms:modified>
</cp:coreProperties>
</file>