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0" w:left="0" w:right="0"/>
        <w:jc w:val="both"/>
        <w:rPr>
          <w:b w:val="0"/>
        </w:rPr>
      </w:pPr>
    </w:p>
    <w:p w14:paraId="02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1"/>
          <w:sz w:val="28"/>
        </w:rPr>
        <w:t>Ужесточена ответственность за преступления диверсионной направленности</w:t>
      </w:r>
      <w:r>
        <w:br/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17.11.2025 № 420-ФЗ внесены изменения в Уголовный кодекс РФ.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частности, расширен перечень преступлений, возраст уголовной ответственности за совершение которых наступает с 14 лет. В перечень включены преступления террористического и диверсионного характера, предусмотренные ст. 205.1, 205.4, 205.5, 281, 281.1, 281.2, 281.3 УК РФ.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Деяния, предусмотренные частями первой или первой.1 статьи 205.1 ("Содействие террористической деятельности") и частью первой статьи 281.1 ("Содействие диверсионной деятельности"), совершенные в отношении несовершеннолетнего, повлекут наказание вплоть до пожизненного лишения свободы.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Отменены сроки давности к лицам, совершившим преступления диверсионной направленности или осужденным за их совершение.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Виновным в совершении преступлений диверсионной направленности не может быть назначено наказание ниже низшего предела, предусмотренного статьей УК РФ.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Закон вступает в силу со дня его официального опубликования.</w:t>
      </w: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E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F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0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1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12000000">
      <w:pPr>
        <w:pStyle w:val="Style_1"/>
      </w:pPr>
    </w:p>
    <w:sectPr>
      <w:pgSz w:h="16838" w:orient="portrait" w:w="11906"/>
      <w:pgMar w:bottom="1440" w:footer="0" w:gutter="0" w:header="0" w:left="1133" w:right="566" w:top="44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DocList"/>
    <w:link w:val="Style_10_ch"/>
    <w:pPr>
      <w:widowControl w:val="0"/>
      <w:ind/>
    </w:pPr>
    <w:rPr>
      <w:rFonts w:ascii="Tahoma" w:hAnsi="Tahoma"/>
      <w:sz w:val="18"/>
    </w:rPr>
  </w:style>
  <w:style w:styleId="Style_10_ch" w:type="character">
    <w:name w:val="ConsPlusDocList"/>
    <w:link w:val="Style_10"/>
    <w:rPr>
      <w:rFonts w:ascii="Tahoma" w:hAnsi="Tahoma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sz w:val="24"/>
    </w:rPr>
  </w:style>
  <w:style w:styleId="Style_26_ch" w:type="character">
    <w:name w:val="ConsPlusTitle"/>
    <w:link w:val="Style_26"/>
    <w:rPr>
      <w:rFonts w:ascii="Arial" w:hAnsi="Arial"/>
      <w:b w:val="1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2025-11-24T14:26:49Z</dcterms:modified>
</cp:coreProperties>
</file>